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DA" w:rsidRDefault="007513DA">
      <w:pPr>
        <w:rPr>
          <w:rFonts w:ascii="Comic Sans MS" w:hAnsi="Comic Sans MS" w:cs="Century Gothic,Bold"/>
          <w:b/>
          <w:bCs/>
        </w:rPr>
      </w:pPr>
    </w:p>
    <w:p w:rsidR="007513DA" w:rsidRDefault="007513DA">
      <w:pPr>
        <w:rPr>
          <w:rFonts w:ascii="Comic Sans MS" w:hAnsi="Comic Sans MS" w:cs="Century Gothic,Bold"/>
          <w:b/>
          <w:bCs/>
        </w:rPr>
      </w:pPr>
    </w:p>
    <w:p w:rsidR="007513DA" w:rsidRDefault="007513DA" w:rsidP="007513DA">
      <w:pPr>
        <w:rPr>
          <w:rFonts w:ascii="Arial" w:hAnsi="Arial" w:cs="Arial"/>
          <w:b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62865</wp:posOffset>
            </wp:positionV>
            <wp:extent cx="1828800" cy="1600200"/>
            <wp:effectExtent l="0" t="0" r="0" b="0"/>
            <wp:wrapSquare wrapText="bothSides"/>
            <wp:docPr id="1" name="Picture 1" descr="logo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r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93E" w:rsidRDefault="005A693E" w:rsidP="007513DA">
      <w:pPr>
        <w:rPr>
          <w:rFonts w:ascii="Arial" w:hAnsi="Arial" w:cs="Arial"/>
          <w:b/>
          <w:szCs w:val="20"/>
        </w:rPr>
      </w:pPr>
    </w:p>
    <w:p w:rsidR="005A693E" w:rsidRPr="00395479" w:rsidRDefault="005A693E" w:rsidP="007513DA">
      <w:pPr>
        <w:rPr>
          <w:rFonts w:ascii="Arial" w:hAnsi="Arial" w:cs="Arial"/>
          <w:b/>
          <w:szCs w:val="20"/>
        </w:rPr>
      </w:pPr>
    </w:p>
    <w:p w:rsidR="007513DA" w:rsidRPr="00395479" w:rsidRDefault="007513DA" w:rsidP="007513DA">
      <w:pPr>
        <w:rPr>
          <w:rFonts w:ascii="Arial" w:hAnsi="Arial" w:cs="Arial"/>
          <w:b/>
          <w:szCs w:val="20"/>
        </w:rPr>
      </w:pPr>
    </w:p>
    <w:p w:rsidR="007513DA" w:rsidRPr="00395479" w:rsidRDefault="007513DA" w:rsidP="007513DA"/>
    <w:p w:rsidR="007513DA" w:rsidRPr="000F5EB0" w:rsidRDefault="007513DA" w:rsidP="007513DA">
      <w:pPr>
        <w:pStyle w:val="aLCPHeading"/>
        <w:rPr>
          <w:color w:val="000000"/>
          <w:sz w:val="22"/>
          <w:szCs w:val="22"/>
        </w:rPr>
      </w:pPr>
    </w:p>
    <w:p w:rsidR="007513DA" w:rsidRDefault="007513DA" w:rsidP="007513DA">
      <w:pPr>
        <w:jc w:val="center"/>
        <w:rPr>
          <w:rFonts w:cs="Arial"/>
          <w:color w:val="000000"/>
          <w:sz w:val="28"/>
          <w:szCs w:val="28"/>
        </w:rPr>
      </w:pPr>
    </w:p>
    <w:p w:rsidR="007513DA" w:rsidRDefault="007513DA" w:rsidP="007513DA">
      <w:pPr>
        <w:jc w:val="center"/>
        <w:rPr>
          <w:rFonts w:cs="Arial"/>
          <w:color w:val="000000"/>
          <w:sz w:val="28"/>
          <w:szCs w:val="28"/>
        </w:rPr>
      </w:pPr>
    </w:p>
    <w:p w:rsidR="007513DA" w:rsidRDefault="007513DA" w:rsidP="007513DA">
      <w:pPr>
        <w:rPr>
          <w:rFonts w:cs="Arial"/>
          <w:color w:val="000000"/>
          <w:sz w:val="28"/>
          <w:szCs w:val="28"/>
        </w:rPr>
      </w:pPr>
    </w:p>
    <w:p w:rsidR="007513DA" w:rsidRDefault="007513DA" w:rsidP="005A693E">
      <w:pPr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cs="Arial"/>
          <w:sz w:val="36"/>
        </w:rPr>
      </w:pPr>
    </w:p>
    <w:p w:rsidR="007513DA" w:rsidRPr="00C757DE" w:rsidRDefault="007513DA" w:rsidP="007513DA">
      <w:pPr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Edith Cavell Primary School</w:t>
      </w:r>
    </w:p>
    <w:p w:rsidR="007513DA" w:rsidRPr="00C757DE" w:rsidRDefault="007513DA" w:rsidP="007513DA">
      <w:pPr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7513DA" w:rsidRPr="00C757DE" w:rsidRDefault="007513DA" w:rsidP="007513DA">
      <w:pPr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8"/>
          <w:u w:val="single"/>
        </w:rPr>
      </w:pPr>
      <w:r>
        <w:rPr>
          <w:rFonts w:ascii="Arial" w:hAnsi="Arial" w:cs="Arial"/>
          <w:b/>
          <w:bCs/>
          <w:sz w:val="50"/>
          <w:szCs w:val="40"/>
        </w:rPr>
        <w:t>Peer on Peer Abuse Policy and Procedures</w:t>
      </w:r>
    </w:p>
    <w:p w:rsidR="007513DA" w:rsidRDefault="007513DA" w:rsidP="005A693E">
      <w:pPr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cs="Arial"/>
          <w:sz w:val="28"/>
          <w:u w:val="single"/>
        </w:rPr>
      </w:pPr>
    </w:p>
    <w:p w:rsidR="007513DA" w:rsidRDefault="007513DA" w:rsidP="007513DA">
      <w:pPr>
        <w:rPr>
          <w:rFonts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4154"/>
        <w:gridCol w:w="4391"/>
      </w:tblGrid>
      <w:tr w:rsidR="005A693E" w:rsidTr="005A693E">
        <w:tc>
          <w:tcPr>
            <w:tcW w:w="1668" w:type="dxa"/>
          </w:tcPr>
          <w:p w:rsidR="005A693E" w:rsidRPr="005A693E" w:rsidRDefault="005A693E" w:rsidP="007513DA">
            <w:pPr>
              <w:rPr>
                <w:rFonts w:cs="Arial"/>
                <w:sz w:val="32"/>
                <w:szCs w:val="32"/>
              </w:rPr>
            </w:pPr>
            <w:r w:rsidRPr="005A693E">
              <w:rPr>
                <w:rFonts w:cs="Arial"/>
                <w:sz w:val="32"/>
                <w:szCs w:val="32"/>
              </w:rPr>
              <w:t>Role</w:t>
            </w:r>
          </w:p>
        </w:tc>
        <w:tc>
          <w:tcPr>
            <w:tcW w:w="4252" w:type="dxa"/>
          </w:tcPr>
          <w:p w:rsidR="005A693E" w:rsidRPr="005A693E" w:rsidRDefault="005A693E" w:rsidP="005A69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Designated Safeguarding Lead for Child protection</w:t>
            </w:r>
          </w:p>
        </w:tc>
        <w:tc>
          <w:tcPr>
            <w:tcW w:w="4500" w:type="dxa"/>
          </w:tcPr>
          <w:p w:rsidR="005A693E" w:rsidRPr="005A693E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Deputy Designated Safeguarding Lead</w:t>
            </w:r>
          </w:p>
        </w:tc>
      </w:tr>
      <w:tr w:rsidR="005A693E" w:rsidTr="005A693E">
        <w:tc>
          <w:tcPr>
            <w:tcW w:w="1668" w:type="dxa"/>
          </w:tcPr>
          <w:p w:rsidR="005A693E" w:rsidRPr="005A693E" w:rsidRDefault="005A693E" w:rsidP="007513DA">
            <w:pPr>
              <w:rPr>
                <w:rFonts w:cs="Arial"/>
                <w:sz w:val="32"/>
                <w:szCs w:val="32"/>
              </w:rPr>
            </w:pPr>
            <w:r w:rsidRPr="005A693E">
              <w:rPr>
                <w:rFonts w:cs="Arial"/>
                <w:sz w:val="32"/>
                <w:szCs w:val="32"/>
              </w:rPr>
              <w:t>Name</w:t>
            </w:r>
          </w:p>
        </w:tc>
        <w:tc>
          <w:tcPr>
            <w:tcW w:w="4252" w:type="dxa"/>
          </w:tcPr>
          <w:p w:rsidR="005A693E" w:rsidRPr="002B2760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Miss Heather Cooke</w:t>
            </w:r>
          </w:p>
        </w:tc>
        <w:tc>
          <w:tcPr>
            <w:tcW w:w="4500" w:type="dxa"/>
          </w:tcPr>
          <w:p w:rsidR="005A693E" w:rsidRPr="002B2760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Mrs Sarah Dennis</w:t>
            </w:r>
          </w:p>
        </w:tc>
      </w:tr>
      <w:tr w:rsidR="005A693E" w:rsidTr="005A693E">
        <w:tc>
          <w:tcPr>
            <w:tcW w:w="1668" w:type="dxa"/>
          </w:tcPr>
          <w:p w:rsidR="005A693E" w:rsidRPr="005A693E" w:rsidRDefault="005A693E" w:rsidP="007513DA">
            <w:pPr>
              <w:rPr>
                <w:rFonts w:cs="Arial"/>
                <w:sz w:val="32"/>
                <w:szCs w:val="32"/>
              </w:rPr>
            </w:pPr>
            <w:r w:rsidRPr="005A693E">
              <w:rPr>
                <w:rFonts w:cs="Arial"/>
                <w:sz w:val="32"/>
                <w:szCs w:val="32"/>
              </w:rPr>
              <w:t>Contact via</w:t>
            </w:r>
          </w:p>
        </w:tc>
        <w:tc>
          <w:tcPr>
            <w:tcW w:w="4252" w:type="dxa"/>
          </w:tcPr>
          <w:p w:rsidR="005A693E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Main school office</w:t>
            </w:r>
          </w:p>
          <w:p w:rsidR="002B2760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Tel: 01234 345636</w:t>
            </w:r>
          </w:p>
          <w:p w:rsidR="002B2760" w:rsidRPr="002B2760" w:rsidRDefault="00644461" w:rsidP="002B2760">
            <w:pPr>
              <w:jc w:val="center"/>
              <w:rPr>
                <w:rFonts w:cs="Arial"/>
              </w:rPr>
            </w:pPr>
            <w:hyperlink r:id="rId8" w:history="1">
              <w:r w:rsidR="002B2760" w:rsidRPr="001A0A22">
                <w:rPr>
                  <w:rStyle w:val="Hyperlink"/>
                  <w:rFonts w:cs="Arial"/>
                </w:rPr>
                <w:t>office@ecls.org.uk</w:t>
              </w:r>
            </w:hyperlink>
            <w:r w:rsidR="002B2760">
              <w:rPr>
                <w:rFonts w:cs="Arial"/>
              </w:rPr>
              <w:t xml:space="preserve"> </w:t>
            </w:r>
          </w:p>
        </w:tc>
        <w:tc>
          <w:tcPr>
            <w:tcW w:w="4500" w:type="dxa"/>
          </w:tcPr>
          <w:p w:rsidR="002B2760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Main school office</w:t>
            </w:r>
          </w:p>
          <w:p w:rsidR="002B2760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Tel: 01234 345636</w:t>
            </w:r>
          </w:p>
          <w:p w:rsidR="005A693E" w:rsidRPr="002B2760" w:rsidRDefault="00644461" w:rsidP="002B2760">
            <w:pPr>
              <w:jc w:val="center"/>
              <w:rPr>
                <w:rFonts w:cs="Arial"/>
              </w:rPr>
            </w:pPr>
            <w:hyperlink r:id="rId9" w:history="1">
              <w:r w:rsidR="002B2760" w:rsidRPr="001A0A22">
                <w:rPr>
                  <w:rStyle w:val="Hyperlink"/>
                  <w:rFonts w:cs="Arial"/>
                </w:rPr>
                <w:t>office@ecls.org.uk</w:t>
              </w:r>
            </w:hyperlink>
          </w:p>
        </w:tc>
      </w:tr>
      <w:tr w:rsidR="005A693E" w:rsidTr="000B1E47">
        <w:tc>
          <w:tcPr>
            <w:tcW w:w="10420" w:type="dxa"/>
            <w:gridSpan w:val="3"/>
          </w:tcPr>
          <w:p w:rsidR="005A693E" w:rsidRPr="002B2760" w:rsidRDefault="002B2760" w:rsidP="002B2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Our named Governor with special responsibility for child protection and safeguarding is Mr J Leahy</w:t>
            </w:r>
          </w:p>
        </w:tc>
      </w:tr>
    </w:tbl>
    <w:p w:rsidR="007513DA" w:rsidRDefault="007513DA" w:rsidP="007513DA">
      <w:pPr>
        <w:jc w:val="center"/>
        <w:rPr>
          <w:rFonts w:cs="Arial"/>
          <w:sz w:val="36"/>
        </w:rPr>
      </w:pPr>
    </w:p>
    <w:p w:rsidR="00793152" w:rsidRPr="008B44AF" w:rsidRDefault="00793152" w:rsidP="00793152">
      <w:pPr>
        <w:pStyle w:val="style1149"/>
        <w:spacing w:before="0" w:beforeAutospacing="0"/>
        <w:rPr>
          <w:rStyle w:val="Strong"/>
          <w:b w:val="0"/>
          <w:sz w:val="32"/>
          <w:szCs w:val="32"/>
        </w:rPr>
      </w:pPr>
      <w:proofErr w:type="spellStart"/>
      <w:proofErr w:type="gramStart"/>
      <w:r w:rsidRPr="008B44AF">
        <w:rPr>
          <w:rStyle w:val="Strong"/>
          <w:sz w:val="32"/>
          <w:szCs w:val="32"/>
          <w:u w:val="single"/>
        </w:rPr>
        <w:t>Signed:_</w:t>
      </w:r>
      <w:proofErr w:type="gramEnd"/>
      <w:r w:rsidRPr="008B44AF">
        <w:rPr>
          <w:rStyle w:val="Strong"/>
          <w:sz w:val="32"/>
          <w:szCs w:val="32"/>
          <w:u w:val="single"/>
        </w:rPr>
        <w:t>_</w:t>
      </w:r>
      <w:r>
        <w:rPr>
          <w:rStyle w:val="Strong"/>
          <w:rFonts w:ascii="Freestyle Script" w:hAnsi="Freestyle Script"/>
          <w:sz w:val="36"/>
          <w:szCs w:val="36"/>
          <w:u w:val="single"/>
        </w:rPr>
        <w:t>G</w:t>
      </w:r>
      <w:proofErr w:type="spellEnd"/>
      <w:r>
        <w:rPr>
          <w:rStyle w:val="Strong"/>
          <w:rFonts w:ascii="Freestyle Script" w:hAnsi="Freestyle Script"/>
          <w:sz w:val="36"/>
          <w:szCs w:val="36"/>
          <w:u w:val="single"/>
        </w:rPr>
        <w:t xml:space="preserve"> Bishop</w:t>
      </w:r>
      <w:r w:rsidRPr="008B44AF">
        <w:rPr>
          <w:rStyle w:val="Strong"/>
          <w:sz w:val="32"/>
          <w:szCs w:val="32"/>
          <w:u w:val="single"/>
        </w:rPr>
        <w:t xml:space="preserve">________________  </w:t>
      </w:r>
      <w:r w:rsidRPr="008B44AF">
        <w:rPr>
          <w:rStyle w:val="Strong"/>
          <w:sz w:val="32"/>
          <w:szCs w:val="32"/>
        </w:rPr>
        <w:t xml:space="preserve">   Chair of Governors</w:t>
      </w:r>
    </w:p>
    <w:p w:rsidR="00793152" w:rsidRPr="008B44AF" w:rsidRDefault="00793152" w:rsidP="00793152">
      <w:pPr>
        <w:pStyle w:val="style1149"/>
        <w:spacing w:before="0" w:beforeAutospacing="0"/>
        <w:rPr>
          <w:rStyle w:val="Strong"/>
          <w:b w:val="0"/>
          <w:sz w:val="32"/>
          <w:szCs w:val="32"/>
        </w:rPr>
      </w:pPr>
    </w:p>
    <w:p w:rsidR="007513DA" w:rsidRDefault="00793152" w:rsidP="007513DA">
      <w:pPr>
        <w:pStyle w:val="style1149"/>
        <w:spacing w:before="0" w:beforeAutospacing="0"/>
        <w:rPr>
          <w:rStyle w:val="Strong"/>
          <w:b w:val="0"/>
          <w:sz w:val="32"/>
          <w:szCs w:val="32"/>
        </w:rPr>
      </w:pPr>
      <w:bookmarkStart w:id="0" w:name="_GoBack"/>
      <w:bookmarkEnd w:id="0"/>
      <w:proofErr w:type="spellStart"/>
      <w:r w:rsidRPr="008B44AF">
        <w:rPr>
          <w:rStyle w:val="Strong"/>
          <w:sz w:val="32"/>
          <w:szCs w:val="32"/>
          <w:u w:val="single"/>
        </w:rPr>
        <w:t>Signed:___</w:t>
      </w:r>
      <w:r w:rsidRPr="00013578">
        <w:rPr>
          <w:rStyle w:val="Strong"/>
          <w:rFonts w:ascii="Lucida Calligraphy" w:hAnsi="Lucida Calligraphy"/>
          <w:sz w:val="32"/>
          <w:szCs w:val="32"/>
          <w:u w:val="single"/>
        </w:rPr>
        <w:t>H</w:t>
      </w:r>
      <w:proofErr w:type="spellEnd"/>
      <w:r w:rsidRPr="00013578">
        <w:rPr>
          <w:rStyle w:val="Strong"/>
          <w:rFonts w:ascii="Lucida Calligraphy" w:hAnsi="Lucida Calligraphy"/>
          <w:sz w:val="32"/>
          <w:szCs w:val="32"/>
          <w:u w:val="single"/>
        </w:rPr>
        <w:t xml:space="preserve"> Cooke</w:t>
      </w:r>
      <w:r w:rsidRPr="008B44AF">
        <w:rPr>
          <w:rStyle w:val="Strong"/>
          <w:sz w:val="32"/>
          <w:szCs w:val="32"/>
          <w:u w:val="single"/>
        </w:rPr>
        <w:t>_____________</w:t>
      </w:r>
      <w:r w:rsidRPr="008B44AF">
        <w:rPr>
          <w:rStyle w:val="Strong"/>
          <w:sz w:val="32"/>
          <w:szCs w:val="32"/>
        </w:rPr>
        <w:t xml:space="preserve">  Headteacher</w:t>
      </w:r>
    </w:p>
    <w:p w:rsidR="00793152" w:rsidRPr="00793152" w:rsidRDefault="00793152" w:rsidP="007513DA">
      <w:pPr>
        <w:pStyle w:val="style1149"/>
        <w:spacing w:before="0" w:beforeAutospacing="0"/>
        <w:rPr>
          <w:rStyle w:val="Strong"/>
          <w:b w:val="0"/>
          <w:sz w:val="32"/>
          <w:szCs w:val="32"/>
        </w:rPr>
      </w:pPr>
    </w:p>
    <w:p w:rsidR="007513DA" w:rsidRPr="001109B2" w:rsidRDefault="007513DA" w:rsidP="007513DA">
      <w:pPr>
        <w:pStyle w:val="style1149"/>
        <w:spacing w:before="0" w:beforeAutospacing="0"/>
        <w:rPr>
          <w:rStyle w:val="Strong"/>
          <w:b w:val="0"/>
          <w:u w:val="single"/>
        </w:rPr>
      </w:pPr>
      <w:proofErr w:type="spellStart"/>
      <w:proofErr w:type="gramStart"/>
      <w:r w:rsidRPr="001109B2">
        <w:rPr>
          <w:rStyle w:val="Strong"/>
          <w:u w:val="single"/>
        </w:rPr>
        <w:t>Date:_</w:t>
      </w:r>
      <w:proofErr w:type="gramEnd"/>
      <w:r w:rsidRPr="001109B2">
        <w:rPr>
          <w:rStyle w:val="Strong"/>
          <w:u w:val="single"/>
        </w:rPr>
        <w:t>____</w:t>
      </w:r>
      <w:r w:rsidR="00337174">
        <w:rPr>
          <w:rStyle w:val="Strong"/>
          <w:u w:val="single"/>
        </w:rPr>
        <w:t>June</w:t>
      </w:r>
      <w:proofErr w:type="spellEnd"/>
      <w:r w:rsidR="00337174">
        <w:rPr>
          <w:rStyle w:val="Strong"/>
          <w:u w:val="single"/>
        </w:rPr>
        <w:t xml:space="preserve"> 2021</w:t>
      </w:r>
      <w:r w:rsidRPr="001109B2">
        <w:rPr>
          <w:rStyle w:val="Strong"/>
          <w:u w:val="single"/>
        </w:rPr>
        <w:t xml:space="preserve">________________ </w:t>
      </w:r>
    </w:p>
    <w:p w:rsidR="007513DA" w:rsidRPr="001109B2" w:rsidRDefault="007513DA" w:rsidP="007513DA">
      <w:pPr>
        <w:pStyle w:val="style1149"/>
        <w:spacing w:before="0" w:beforeAutospacing="0"/>
        <w:rPr>
          <w:rStyle w:val="Strong"/>
          <w:b w:val="0"/>
          <w:u w:val="single"/>
        </w:rPr>
      </w:pPr>
    </w:p>
    <w:p w:rsidR="007513DA" w:rsidRPr="001109B2" w:rsidRDefault="007513DA" w:rsidP="007513DA">
      <w:pPr>
        <w:pStyle w:val="style1149"/>
        <w:spacing w:before="0" w:beforeAutospacing="0"/>
        <w:rPr>
          <w:rStyle w:val="Strong"/>
          <w:b w:val="0"/>
          <w:u w:val="single"/>
        </w:rPr>
      </w:pPr>
      <w:r w:rsidRPr="001109B2">
        <w:rPr>
          <w:rStyle w:val="Strong"/>
          <w:u w:val="single"/>
        </w:rPr>
        <w:t xml:space="preserve">Review </w:t>
      </w:r>
      <w:proofErr w:type="spellStart"/>
      <w:proofErr w:type="gramStart"/>
      <w:r w:rsidRPr="001109B2">
        <w:rPr>
          <w:rStyle w:val="Strong"/>
          <w:u w:val="single"/>
        </w:rPr>
        <w:t>date:_</w:t>
      </w:r>
      <w:proofErr w:type="gramEnd"/>
      <w:r w:rsidRPr="001109B2">
        <w:rPr>
          <w:rStyle w:val="Strong"/>
          <w:u w:val="single"/>
        </w:rPr>
        <w:t>___</w:t>
      </w:r>
      <w:r w:rsidR="00337174">
        <w:rPr>
          <w:rStyle w:val="Strong"/>
          <w:u w:val="single"/>
        </w:rPr>
        <w:t>June</w:t>
      </w:r>
      <w:proofErr w:type="spellEnd"/>
      <w:r w:rsidR="00337174">
        <w:rPr>
          <w:rStyle w:val="Strong"/>
          <w:u w:val="single"/>
        </w:rPr>
        <w:t xml:space="preserve"> 2024</w:t>
      </w:r>
      <w:r w:rsidRPr="001109B2">
        <w:rPr>
          <w:rStyle w:val="Strong"/>
          <w:u w:val="single"/>
        </w:rPr>
        <w:t>___________</w:t>
      </w:r>
    </w:p>
    <w:p w:rsidR="007513DA" w:rsidRDefault="007513DA">
      <w:pPr>
        <w:rPr>
          <w:rFonts w:ascii="Comic Sans MS" w:hAnsi="Comic Sans MS" w:cs="Century Gothic,Bold"/>
          <w:b/>
          <w:bCs/>
        </w:rPr>
      </w:pPr>
      <w:r>
        <w:rPr>
          <w:rFonts w:ascii="Comic Sans MS" w:hAnsi="Comic Sans MS" w:cs="Century Gothic,Bold"/>
          <w:b/>
          <w:bCs/>
        </w:rPr>
        <w:br w:type="page"/>
      </w:r>
    </w:p>
    <w:p w:rsidR="007513DA" w:rsidRPr="00A17E2C" w:rsidRDefault="007513DA" w:rsidP="00A17E2C">
      <w:pPr>
        <w:jc w:val="center"/>
        <w:rPr>
          <w:rFonts w:ascii="Calibri" w:hAnsi="Calibri" w:cs="Century Gothic,Bold"/>
          <w:b/>
          <w:bCs/>
          <w:sz w:val="26"/>
          <w:szCs w:val="26"/>
          <w:u w:val="single"/>
        </w:rPr>
      </w:pPr>
      <w:r w:rsidRPr="00A17E2C">
        <w:rPr>
          <w:rFonts w:ascii="Calibri" w:hAnsi="Calibri" w:cs="Century Gothic,Bold"/>
          <w:b/>
          <w:bCs/>
          <w:sz w:val="26"/>
          <w:szCs w:val="26"/>
          <w:u w:val="single"/>
        </w:rPr>
        <w:lastRenderedPageBreak/>
        <w:t>To be read alongside the current Safeguarding Policy, Behaviour Policy and E-Safety</w:t>
      </w:r>
    </w:p>
    <w:p w:rsidR="007513DA" w:rsidRPr="00A17E2C" w:rsidRDefault="007513DA" w:rsidP="00A17E2C">
      <w:pPr>
        <w:autoSpaceDE w:val="0"/>
        <w:autoSpaceDN w:val="0"/>
        <w:adjustRightInd w:val="0"/>
        <w:jc w:val="center"/>
        <w:rPr>
          <w:rFonts w:ascii="Calibri" w:hAnsi="Calibri" w:cs="Century Gothic,Bold"/>
          <w:b/>
          <w:bCs/>
          <w:sz w:val="26"/>
          <w:szCs w:val="26"/>
          <w:u w:val="single"/>
        </w:rPr>
      </w:pPr>
      <w:r w:rsidRPr="00A17E2C">
        <w:rPr>
          <w:rFonts w:ascii="Calibri" w:hAnsi="Calibri" w:cs="Century Gothic,Bold"/>
          <w:b/>
          <w:bCs/>
          <w:sz w:val="26"/>
          <w:szCs w:val="26"/>
          <w:u w:val="single"/>
        </w:rPr>
        <w:t>Policy documentation.</w:t>
      </w:r>
    </w:p>
    <w:p w:rsidR="002B2760" w:rsidRPr="00A17E2C" w:rsidRDefault="002B2760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Introduction</w:t>
      </w:r>
    </w:p>
    <w:p w:rsidR="002B2760" w:rsidRPr="00A17E2C" w:rsidRDefault="002B2760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AD502E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 xml:space="preserve">Keeping </w:t>
      </w:r>
      <w:r w:rsidR="00337174">
        <w:rPr>
          <w:rFonts w:ascii="Calibri" w:hAnsi="Calibri" w:cs="Century Gothic"/>
          <w:sz w:val="26"/>
          <w:szCs w:val="26"/>
        </w:rPr>
        <w:t>Children Safe in Education, 2020</w:t>
      </w:r>
      <w:r w:rsidRPr="002B2760">
        <w:rPr>
          <w:rFonts w:ascii="Calibri" w:hAnsi="Calibri" w:cs="Century Gothic"/>
          <w:sz w:val="26"/>
          <w:szCs w:val="26"/>
        </w:rPr>
        <w:t xml:space="preserve"> states that ‘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Governing bodies and</w:t>
      </w:r>
      <w:r w:rsid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proprietors should ensure that their child protection policy includes: procedures to</w:t>
      </w:r>
      <w:r w:rsid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minimise the risk of peer on peer abuse; how allegations of peer on peer abuse will</w:t>
      </w:r>
      <w:r w:rsid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be recorded, investigated and dealt with and clear processes as to how victims,</w:t>
      </w:r>
      <w:r w:rsid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perpetrators and any other child affected by peer on peer abuse will be supported</w:t>
      </w:r>
      <w:r w:rsidRPr="002B2760">
        <w:rPr>
          <w:rFonts w:ascii="Calibri" w:hAnsi="Calibri" w:cs="Century Gothic"/>
          <w:sz w:val="26"/>
          <w:szCs w:val="26"/>
        </w:rPr>
        <w:t>’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="00337174">
        <w:rPr>
          <w:rFonts w:ascii="Calibri" w:hAnsi="Calibri" w:cs="Century Gothic"/>
          <w:sz w:val="26"/>
          <w:szCs w:val="26"/>
        </w:rPr>
        <w:t>(page 26-27</w:t>
      </w:r>
      <w:r w:rsidRPr="002B2760">
        <w:rPr>
          <w:rFonts w:ascii="Calibri" w:hAnsi="Calibri" w:cs="Century Gothic"/>
          <w:sz w:val="26"/>
          <w:szCs w:val="26"/>
        </w:rPr>
        <w:t>). The document also states it is most important to ensure opportunities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of seeking the voice of the child are heard, ‘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Governing bodies, proprietors and</w:t>
      </w:r>
      <w:r w:rsidR="00A17E2C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school or college leaders should ensure the child’s wishes and feelings are taken</w:t>
      </w:r>
      <w:r w:rsidR="00A17E2C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into account when determining what action to take and what services to provide.</w:t>
      </w:r>
      <w:r w:rsidR="00A17E2C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Systems should be in place for children to express their views and give feedback.</w:t>
      </w:r>
      <w:r w:rsidR="00A17E2C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Ultimately, any system and processes should operate with the best interests of the</w:t>
      </w:r>
      <w:r w:rsidR="00A17E2C">
        <w:rPr>
          <w:rFonts w:ascii="Calibri" w:hAnsi="Calibri" w:cs="Century Gothic,BoldItalic"/>
          <w:b/>
          <w:bCs/>
          <w:i/>
          <w:iCs/>
          <w:sz w:val="26"/>
          <w:szCs w:val="26"/>
        </w:rPr>
        <w:t xml:space="preserve"> </w:t>
      </w:r>
      <w:r w:rsidRPr="002B2760">
        <w:rPr>
          <w:rFonts w:ascii="Calibri" w:hAnsi="Calibri" w:cs="Century Gothic,BoldItalic"/>
          <w:b/>
          <w:bCs/>
          <w:i/>
          <w:iCs/>
          <w:sz w:val="26"/>
          <w:szCs w:val="26"/>
        </w:rPr>
        <w:t>child at their heart.</w:t>
      </w:r>
      <w:r w:rsidRPr="002B2760">
        <w:rPr>
          <w:rFonts w:ascii="Calibri" w:hAnsi="Calibri" w:cs="Century Gothic"/>
          <w:sz w:val="26"/>
          <w:szCs w:val="26"/>
        </w:rPr>
        <w:t>’</w:t>
      </w:r>
    </w:p>
    <w:p w:rsidR="00A17E2C" w:rsidRPr="002B2760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While it is recommended that Peer on Peer abuse is part of the Safeguarding Policy,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due to the sensitive nature and specific issues involved with peer on peer abuse we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have decided to separate it from the main Safeguarding Policy.</w:t>
      </w:r>
    </w:p>
    <w:p w:rsidR="00A17E2C" w:rsidRPr="002B2760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>At Edith Cavell</w:t>
      </w:r>
      <w:r w:rsidR="007513DA" w:rsidRPr="002B2760">
        <w:rPr>
          <w:rFonts w:ascii="Calibri" w:hAnsi="Calibri" w:cs="Century Gothic"/>
          <w:sz w:val="26"/>
          <w:szCs w:val="26"/>
        </w:rPr>
        <w:t xml:space="preserve"> Primary School, we continue to ensure that any form of abuse or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harmful behaviour is dealt with immediately and consistently to reduce the extent of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harm to the child, with full consideration to the impact on that individual child’s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emotional and mental health and well-being.</w:t>
      </w:r>
    </w:p>
    <w:p w:rsidR="00A17E2C" w:rsidRPr="002B2760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Purpose and Aim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Children and young people may be harmful to one another in a number of ways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which would be classified as peer on peer abuse. The purpose of this policy is to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explore the many forms of peer on peer abuse and include a planned and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supportive response to the issues.</w:t>
      </w:r>
    </w:p>
    <w:p w:rsidR="00A17E2C" w:rsidRPr="002B2760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>At Edith Cavell</w:t>
      </w:r>
      <w:r w:rsidR="007513DA" w:rsidRPr="002B2760">
        <w:rPr>
          <w:rFonts w:ascii="Calibri" w:hAnsi="Calibri" w:cs="Century Gothic"/>
          <w:sz w:val="26"/>
          <w:szCs w:val="26"/>
        </w:rPr>
        <w:t xml:space="preserve"> Primary School, we have the following policies in place that should be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read in conjunction with this policy: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Pr="00A17E2C" w:rsidRDefault="007513DA" w:rsidP="00A17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A17E2C">
        <w:rPr>
          <w:rFonts w:ascii="Calibri" w:hAnsi="Calibri" w:cs="Century Gothic"/>
          <w:sz w:val="26"/>
          <w:szCs w:val="26"/>
        </w:rPr>
        <w:t>Anti-Bullying Policy</w:t>
      </w:r>
    </w:p>
    <w:p w:rsidR="007513DA" w:rsidRPr="00A17E2C" w:rsidRDefault="001952A3" w:rsidP="00A17E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 xml:space="preserve">Child protection and </w:t>
      </w:r>
      <w:r w:rsidR="007513DA" w:rsidRPr="00A17E2C">
        <w:rPr>
          <w:rFonts w:ascii="Calibri" w:hAnsi="Calibri" w:cs="Century Gothic"/>
          <w:sz w:val="26"/>
          <w:szCs w:val="26"/>
        </w:rPr>
        <w:t>Safeguarding Policy</w:t>
      </w:r>
    </w:p>
    <w:p w:rsidR="007513DA" w:rsidRPr="00A17E2C" w:rsidRDefault="007513DA" w:rsidP="00A17E2C">
      <w:pPr>
        <w:pStyle w:val="ListParagraph"/>
        <w:numPr>
          <w:ilvl w:val="0"/>
          <w:numId w:val="1"/>
        </w:numPr>
        <w:rPr>
          <w:rFonts w:ascii="Calibri" w:hAnsi="Calibri" w:cs="Century Gothic"/>
          <w:sz w:val="26"/>
          <w:szCs w:val="26"/>
        </w:rPr>
      </w:pPr>
      <w:r w:rsidRPr="00A17E2C">
        <w:rPr>
          <w:rFonts w:ascii="Calibri" w:hAnsi="Calibri" w:cs="Century Gothic"/>
          <w:sz w:val="26"/>
          <w:szCs w:val="26"/>
        </w:rPr>
        <w:t>E-safety Policy</w:t>
      </w:r>
    </w:p>
    <w:p w:rsidR="00A17E2C" w:rsidRPr="00A17E2C" w:rsidRDefault="00A17E2C" w:rsidP="007513DA">
      <w:pPr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Framework and Legislation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This policy is supported by the key principles of the Children’s Act, 1989 that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child’s welfare is paramount. Another key document that focuses adult thinking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towards the views of the child is ‘Working Together to Safeguard Children (March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2015/updated February 2017)’, highlighting that every assessment of a child, ‘must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be informed by the views of the child’ and within that ‘It is important to understand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resilience of the individual child when planning appropriate services. (Working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 xml:space="preserve">Together, 2015:23) This is clearly echoed by Keeping </w:t>
      </w:r>
      <w:r w:rsidR="001952A3">
        <w:rPr>
          <w:rFonts w:ascii="Calibri" w:hAnsi="Calibri" w:cs="Century Gothic"/>
          <w:sz w:val="26"/>
          <w:szCs w:val="26"/>
        </w:rPr>
        <w:t>Children Safe in Education, 2020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through ensuring procedures are in place in schools and settings to hear the voice of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child.</w:t>
      </w: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lastRenderedPageBreak/>
        <w:t>Introduction to abuse and harmful behaviour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Abusive behaviour can happen to pupils in schools and settings and it is necessary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 consider what abuse is and looks like, how it can be managed and what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appropriate support and intervention can be put in place to meet the needs of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individual and what preventative strategies may be put in place to reduce further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risk of harm.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Abuse is abuse and should never be tolerated or passed off as ‘banter’ or ‘part of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growing up’. Equally, abuse issues can sometimes be gender specific e.g. girls being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sexually touched/assaulted and boys being subject to initiation/hazing type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violence (KCSIE, 2018). It is important to consider the forms abuse may take and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subsequent actions required.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Types of abuse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There are many forms of abuse that may occur between peers and this list is not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exhaustive. Each form of abuse or prejudiced behaviour is described in detail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followed by advice and support on actions to be taken.</w:t>
      </w:r>
    </w:p>
    <w:p w:rsidR="00A17E2C" w:rsidRP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Physical abuse e.g. (biting, hitting, kicking, hair pulling etc.)</w:t>
      </w:r>
      <w:r w:rsidR="00A17E2C">
        <w:rPr>
          <w:rFonts w:ascii="Calibri" w:hAnsi="Calibri" w:cs="Century Gothic,Bold"/>
          <w:b/>
          <w:bCs/>
          <w:sz w:val="26"/>
          <w:szCs w:val="26"/>
        </w:rPr>
        <w:t xml:space="preserve"> 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Physical abuse may include, hitting, kicking, nipping, shaking, biting, hair pulling,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otherwise causing physical harm to another person. There may be many reasons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why a child harms another and it is important to understand why a child has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engaged in such behaviour, including accidently before considering the action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punishment to be undertaken.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Sexually harmful behaviour/sexual abuse e.g. (inappropriate sexual language,</w:t>
      </w: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touching, sexual assault etc.)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Sexually harmful behaviour from children is not always contrived or with the intent to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harm others. There may be many reasons why a child engages in sexually harmful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behaviour and it may be just as distressing to the child who instigates it as well as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child it is intended towards. Sexually harmful behaviour may range from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inappropriate sexual language, inappropriate role play, to sexually touching another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or sexual assault/abuse.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Bullying (physical, name calling, homophobic etc.)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Bullying is unwanted, aggressive behaviour among school aged children that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involves a real or perceived power imbalance. The behaviour is repeated, or has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potential to be repeated, over time. Both children who are bullied and who bully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others may have serious, lasting problems.</w:t>
      </w:r>
    </w:p>
    <w:p w:rsidR="00A17E2C" w:rsidRP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In order to be considered bullying, the behaviour must be aggressive and include: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Pr="00A17E2C" w:rsidRDefault="007513DA" w:rsidP="00A17E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A17E2C">
        <w:rPr>
          <w:rFonts w:ascii="Calibri" w:hAnsi="Calibri" w:cs="Century Gothic"/>
          <w:sz w:val="26"/>
          <w:szCs w:val="26"/>
        </w:rPr>
        <w:t>An Imbalance of Power: Children who bully use their power—such as physical</w:t>
      </w:r>
      <w:r w:rsidR="00A17E2C" w:rsidRPr="00A17E2C">
        <w:rPr>
          <w:rFonts w:ascii="Calibri" w:hAnsi="Calibri" w:cs="Century Gothic"/>
          <w:sz w:val="26"/>
          <w:szCs w:val="26"/>
        </w:rPr>
        <w:t xml:space="preserve"> </w:t>
      </w:r>
      <w:r w:rsidRPr="00A17E2C">
        <w:rPr>
          <w:rFonts w:ascii="Calibri" w:hAnsi="Calibri" w:cs="Century Gothic"/>
          <w:sz w:val="26"/>
          <w:szCs w:val="26"/>
        </w:rPr>
        <w:t>strength, access to embarrassing information, or popularity—to control or</w:t>
      </w:r>
      <w:r w:rsidR="00A17E2C" w:rsidRPr="00A17E2C">
        <w:rPr>
          <w:rFonts w:ascii="Calibri" w:hAnsi="Calibri" w:cs="Century Gothic"/>
          <w:sz w:val="26"/>
          <w:szCs w:val="26"/>
        </w:rPr>
        <w:t xml:space="preserve"> </w:t>
      </w:r>
      <w:r w:rsidRPr="00A17E2C">
        <w:rPr>
          <w:rFonts w:ascii="Calibri" w:hAnsi="Calibri" w:cs="Century Gothic"/>
          <w:sz w:val="26"/>
          <w:szCs w:val="26"/>
        </w:rPr>
        <w:t>harm others. Power imbalances can change over time and in different</w:t>
      </w:r>
      <w:r w:rsidR="00A17E2C" w:rsidRPr="00A17E2C">
        <w:rPr>
          <w:rFonts w:ascii="Calibri" w:hAnsi="Calibri" w:cs="Century Gothic"/>
          <w:sz w:val="26"/>
          <w:szCs w:val="26"/>
        </w:rPr>
        <w:t xml:space="preserve"> </w:t>
      </w:r>
      <w:r w:rsidRPr="00A17E2C">
        <w:rPr>
          <w:rFonts w:ascii="Calibri" w:hAnsi="Calibri" w:cs="Century Gothic"/>
          <w:sz w:val="26"/>
          <w:szCs w:val="26"/>
        </w:rPr>
        <w:t>situations, even if they involve the same people.</w:t>
      </w:r>
    </w:p>
    <w:p w:rsidR="007513DA" w:rsidRDefault="007513DA" w:rsidP="00A17E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A17E2C">
        <w:rPr>
          <w:rFonts w:ascii="Calibri" w:hAnsi="Calibri" w:cs="Century Gothic"/>
          <w:sz w:val="26"/>
          <w:szCs w:val="26"/>
        </w:rPr>
        <w:t>Repetition: Bullying behaviours happen more than once or have the potential</w:t>
      </w:r>
      <w:r w:rsidR="00A17E2C" w:rsidRPr="00A17E2C">
        <w:rPr>
          <w:rFonts w:ascii="Calibri" w:hAnsi="Calibri" w:cs="Century Gothic"/>
          <w:sz w:val="26"/>
          <w:szCs w:val="26"/>
        </w:rPr>
        <w:t xml:space="preserve"> to happen more than once.</w:t>
      </w:r>
    </w:p>
    <w:p w:rsidR="00A17E2C" w:rsidRPr="00A17E2C" w:rsidRDefault="00A17E2C" w:rsidP="00A17E2C">
      <w:pPr>
        <w:pStyle w:val="ListParagraph"/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lastRenderedPageBreak/>
        <w:t>Bullying includes actions such as making threats, spreading rumours, attacking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someone physically or verbally or for a particular reason e.g. size, hair colour,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gender, sexual orientation, and excluding someone from a group on purpose.</w:t>
      </w:r>
    </w:p>
    <w:p w:rsidR="00A17E2C" w:rsidRP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Cyber bullying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Cyberbullying is the use of phones, instant messaging, e-mail, chat rooms or social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networking sites such as Facebook and Twitter to harass threaten or intimidate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someone for the same reasons as stated above.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It is important to state that cyber bullying can very easily fall into criminal behaviour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under the Malicious Communications Act 1988 under section 1 which states that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electronic communications which are indecent or grossly offensive, convey a threat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or false information or demonstrate that there is an intention to cause distress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anxiety to the victim would be deemed to be criminal. This is also supported by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Communications Act 2003, Section 127 which states that electronic communications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which are grossly offensive or indecent, obscene or menacing, or false, used again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for the purpose of causing annoyance, inconvenience or needless anxiety to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another could also be deemed to be criminal behaviour.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If the behaviour involves the use of taking or distributing indecent images of children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under the age of 18, then this is also a criminal offence under the Sexual Offences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Act 2003. Outside of the immediate support children may require in these instances,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school will have no choice but to involve the police to investigate these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situations.</w:t>
      </w:r>
    </w:p>
    <w:p w:rsidR="00A17E2C" w:rsidRP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Sexting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Sexting is when someone sends or receives a sexually explicit text, image or video.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This includes sending ‘nude pictures’, ‘rude pictures’ or ‘nude selfies’. Pressuring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someone into sending a nude picture can happen in any relationship and to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anyone, whatever their age, gender or sexual preference.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However, once the image is taken and sent, the sender has lost control of the image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and these images could end up anywhere. By having in their possession,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distributing, indecent images of a person under 18 on to someone else, children are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not even aware that they could be breaking the law as stated as these are offences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under the Sexual Offences Act 2003.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Initiation/Hazing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Hazing is a form of initiation ceremony which is used to induct newcomers into an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organisation such as a private school, sports team etc. There are a number of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different forms, from relatively mild rituals to severe and sometimes violent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ceremonies.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The idea behind this practice is that it welcomes newcomers by subjecting them to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 series of trials which promote a bond between them. After the hazing is over,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newcomers also have something in common with older members of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organisation, because they all experienced it as part of a rite of passage. Many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rituals involve humiliation, embarrassment, abuse, and harassment.</w:t>
      </w:r>
    </w:p>
    <w:p w:rsid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A17E2C" w:rsidRPr="002B2760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lastRenderedPageBreak/>
        <w:t>Prejudiced Behaviour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The term prejudice-related bullying refers to a range of hurtful behaviour, physical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emotional or both, which causes someone to feel powerless, worthless, excluded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marginalised, and which is connected with prejudices around belonging, identity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and equality in wider society – in particular, prejudices to do with disabilities and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special educational needs, ethnic, cultural and religious backgrounds, gender,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home life, (for example in relation to issues of care, parental occupation, poverty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and social class) and sexual identity (homosexual, bisexual, transsexual).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Expected action taken by all staff</w:t>
      </w: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Although the type of abuse may have a varying effect on the victim and initiator of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harm, these simple steps can help clarify the situation and establish the facts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before deciding the consequences for those involved in perpetrating harm.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It is important to deal with a situation of peer abuse immediately and sensitively. It is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necessary to gather the information as soon as possible to get the true facts around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what has occurred as soon after the child(</w:t>
      </w:r>
      <w:proofErr w:type="spellStart"/>
      <w:r w:rsidRPr="002B2760">
        <w:rPr>
          <w:rFonts w:ascii="Calibri" w:hAnsi="Calibri" w:cs="Century Gothic"/>
          <w:sz w:val="26"/>
          <w:szCs w:val="26"/>
        </w:rPr>
        <w:t>ren</w:t>
      </w:r>
      <w:proofErr w:type="spellEnd"/>
      <w:r w:rsidRPr="002B2760">
        <w:rPr>
          <w:rFonts w:ascii="Calibri" w:hAnsi="Calibri" w:cs="Century Gothic"/>
          <w:sz w:val="26"/>
          <w:szCs w:val="26"/>
        </w:rPr>
        <w:t>) may have forgotten. It is equally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important to deal with it sensitively and think about the language used and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impact of that language on both the children and the parents when they become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involved. For example; do not use the word perpetrator, this can quickly create a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‘blame’ culture and leave a child labelled.</w:t>
      </w:r>
    </w:p>
    <w:p w:rsidR="00A17E2C" w:rsidRP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In all cases of peer on peer abuse it is necessary that all staff are trained in dealing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with such incidents, talking to children and instigating immediate support in a calm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and consistent manner. Staff should not be prejudiced, judgemental, dismissive or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irresponsible in dealing with such sensitive matters.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Gather the Facts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Speak to all the children involved separately, gain a statement of facts from them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and use consistent language and open questions for each account. The easiest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way to do this is not to have a line of questioning but to ask the children to tell us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what happened. Only interrupt the child from this to gain clarity with open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questions, ‘where, when, why, who’. (What happened? Who observed the incident?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What was seen? What was heard? Did anyone intervene?)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Consider the Intent (begin to Risk Assess)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Has this been a deliberate or contrived situation for a child to be able to harm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another?</w:t>
      </w:r>
    </w:p>
    <w:p w:rsidR="00A17E2C" w:rsidRPr="00A17E2C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Decide on the next course of action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 xml:space="preserve">If from the information that we </w:t>
      </w:r>
      <w:r w:rsidR="00F725A5" w:rsidRPr="002B2760">
        <w:rPr>
          <w:rFonts w:ascii="Calibri" w:hAnsi="Calibri" w:cs="Century Gothic"/>
          <w:sz w:val="26"/>
          <w:szCs w:val="26"/>
        </w:rPr>
        <w:t>gather,</w:t>
      </w:r>
      <w:r w:rsidRPr="002B2760">
        <w:rPr>
          <w:rFonts w:ascii="Calibri" w:hAnsi="Calibri" w:cs="Century Gothic"/>
          <w:sz w:val="26"/>
          <w:szCs w:val="26"/>
        </w:rPr>
        <w:t xml:space="preserve"> we believe any child to be at risk of significant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harm we must make a safeguarding referral to Children’s Social Care immediately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(where a crime has been committed the Police should be involved also). If this is the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case, once Children’s Social Care has been contacted and made a decision on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what will happen next then we will be informed on the next steps.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If Children’s Social Care and the Police intend to pursue this further they may ask to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interview the children in school or they may ask for parents to come to school to be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spoken to also. It is important to be prepared for every situation and the potential</w:t>
      </w:r>
      <w:r w:rsidR="00A17E2C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time it may take.</w:t>
      </w:r>
    </w:p>
    <w:p w:rsidR="00A17E2C" w:rsidRPr="002B2760" w:rsidRDefault="00A17E2C" w:rsidP="00A17E2C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lastRenderedPageBreak/>
        <w:t>It may also be that Children’s Social Care feel that it does not meet their criteria in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which case we may challenge that decision, with that individual or their line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manager. If on discussion however, we agree with the decision, we may then be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left to inform parents.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26"/>
          <w:szCs w:val="26"/>
        </w:rPr>
      </w:pPr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>Informing parents/carers</w:t>
      </w:r>
    </w:p>
    <w:p w:rsidR="00A17E2C" w:rsidRPr="00A17E2C" w:rsidRDefault="00A17E2C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If, once appropriate advice has been sought from Police/ Children’s Social Care we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have agreement to inform parents or have been allocated that role from the other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services involved then we need to inform the parents/guardians as soon as possible.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If services are not going to be involved then equally, this information may need to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be shared with parents/carers. If a child is deemed to be ‘</w:t>
      </w:r>
      <w:proofErr w:type="spellStart"/>
      <w:r w:rsidRPr="002B2760">
        <w:rPr>
          <w:rFonts w:ascii="Calibri" w:hAnsi="Calibri" w:cs="Century Gothic"/>
          <w:color w:val="0070C1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70C1"/>
          <w:sz w:val="26"/>
          <w:szCs w:val="26"/>
        </w:rPr>
        <w:t xml:space="preserve"> Competent’</w:t>
      </w:r>
      <w:r w:rsidR="00A17E2C">
        <w:rPr>
          <w:rFonts w:ascii="Calibri" w:hAnsi="Calibri" w:cs="Century Gothic"/>
          <w:color w:val="0070C1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following the ‘Fraser’ guidelines and does not wish for us to share the information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with parents/carers, then we will consider this especially for example if the child is</w:t>
      </w:r>
      <w:r w:rsidR="00A17E2C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pregnant and this is why they are being bullied (unless this has occurred through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significant harm in which case a criminal/Children’s Social Care case is likely or the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child is under the age of 13). (see Appendix A</w:t>
      </w:r>
      <w:r w:rsidRPr="002B2760">
        <w:rPr>
          <w:rFonts w:ascii="Calibri" w:hAnsi="Calibri" w:cs="Century Gothic"/>
          <w:color w:val="0000FF"/>
          <w:sz w:val="26"/>
          <w:szCs w:val="26"/>
        </w:rPr>
        <w:t>)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In all circumstances where the risk of harm to the child is evident then the school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should encourage the child to share the information with their parent/carer or even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with them (they may be scared to tell parents that they are being harmed in any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way). Where school can evidence they are acting in the best interests of the child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they would not be criticised, however this would be the case if they actively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breached the rights and choices of the child.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The best way to inform parents is face to face. Although this may be time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consuming, the nature of the incident and the type of harm/abuse a child may be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suffering can cause fear and anxiety to parents whether their child is the child who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was harmed or who harmed another.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Points to consider: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What is the age of the children involved?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How old are the children involved in the incident and is there any age difference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between those involved? (In relation to sexual exploration, children under the age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of 5, in particular 1-4 year olds who are learning toileting skills may show a particular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interest in exploration at around this stage). This, however should not be overlooked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if other issues arise (see following)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Pr="00254BB6" w:rsidRDefault="007513DA" w:rsidP="00254B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54BB6">
        <w:rPr>
          <w:rFonts w:ascii="Calibri" w:hAnsi="Calibri" w:cs="Century Gothic"/>
          <w:sz w:val="26"/>
          <w:szCs w:val="26"/>
        </w:rPr>
        <w:t>Where did the incident or incidents take place?</w:t>
      </w:r>
    </w:p>
    <w:p w:rsidR="007513DA" w:rsidRPr="00254BB6" w:rsidRDefault="007513DA" w:rsidP="007513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54BB6">
        <w:rPr>
          <w:rFonts w:ascii="Calibri" w:hAnsi="Calibri" w:cs="Century Gothic"/>
          <w:sz w:val="26"/>
          <w:szCs w:val="26"/>
        </w:rPr>
        <w:t>Was the incident in an open, visible place to others? If so was it observed? If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not, is more supervision required within this particular area?</w:t>
      </w:r>
    </w:p>
    <w:p w:rsidR="007513DA" w:rsidRPr="00254BB6" w:rsidRDefault="007513DA" w:rsidP="00254B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54BB6">
        <w:rPr>
          <w:rFonts w:ascii="Calibri" w:hAnsi="Calibri" w:cs="Century Gothic"/>
          <w:sz w:val="26"/>
          <w:szCs w:val="26"/>
        </w:rPr>
        <w:t>What was the explanation by all children involved of what occurred?</w:t>
      </w:r>
    </w:p>
    <w:p w:rsidR="007513DA" w:rsidRPr="00254BB6" w:rsidRDefault="007513DA" w:rsidP="007513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54BB6">
        <w:rPr>
          <w:rFonts w:ascii="Calibri" w:hAnsi="Calibri" w:cs="Century Gothic"/>
          <w:sz w:val="26"/>
          <w:szCs w:val="26"/>
        </w:rPr>
        <w:t>Can each of the children give the same explanation of the incident and also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what is the effect on the children involved? Is the incident seen to be bullying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for example, in which case regular and repetitive? Is the version of one child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different from another and why?</w:t>
      </w:r>
    </w:p>
    <w:p w:rsidR="007513DA" w:rsidRPr="00254BB6" w:rsidRDefault="007513DA" w:rsidP="00254BB6">
      <w:pPr>
        <w:pStyle w:val="ListParagraph"/>
        <w:numPr>
          <w:ilvl w:val="0"/>
          <w:numId w:val="3"/>
        </w:numPr>
        <w:rPr>
          <w:rFonts w:ascii="Calibri" w:hAnsi="Calibri" w:cs="Century Gothic"/>
          <w:sz w:val="26"/>
          <w:szCs w:val="26"/>
        </w:rPr>
      </w:pPr>
      <w:r w:rsidRPr="00254BB6">
        <w:rPr>
          <w:rFonts w:ascii="Calibri" w:hAnsi="Calibri" w:cs="Century Gothic"/>
          <w:sz w:val="26"/>
          <w:szCs w:val="26"/>
        </w:rPr>
        <w:t>What is each of the children’s own understanding of what occurred?</w:t>
      </w:r>
    </w:p>
    <w:p w:rsidR="00254BB6" w:rsidRPr="00254BB6" w:rsidRDefault="007513DA" w:rsidP="00254B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54BB6">
        <w:rPr>
          <w:rFonts w:ascii="Calibri" w:hAnsi="Calibri" w:cs="Century Gothic"/>
          <w:sz w:val="26"/>
          <w:szCs w:val="26"/>
        </w:rPr>
        <w:t>Do the children know/understand what they are doing? E.g. do they have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knowledge of body parts, of privacy and that it is inappropriate to touch? Is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the child’s explanation in relation to something they may have heard or been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learning about that has prompted the behaviour? Is the behaviour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 xml:space="preserve">deliberate and contrived? Does the child have </w:t>
      </w:r>
      <w:r w:rsidR="00254BB6" w:rsidRPr="00254BB6">
        <w:rPr>
          <w:rFonts w:ascii="Calibri" w:hAnsi="Calibri" w:cs="Century Gothic"/>
          <w:sz w:val="26"/>
          <w:szCs w:val="26"/>
        </w:rPr>
        <w:t>u</w:t>
      </w:r>
      <w:r w:rsidRPr="00254BB6">
        <w:rPr>
          <w:rFonts w:ascii="Calibri" w:hAnsi="Calibri" w:cs="Century Gothic"/>
          <w:sz w:val="26"/>
          <w:szCs w:val="26"/>
        </w:rPr>
        <w:t>nderstanding of the impact</w:t>
      </w:r>
      <w:r w:rsidR="00254BB6" w:rsidRPr="00254BB6">
        <w:rPr>
          <w:rFonts w:ascii="Calibri" w:hAnsi="Calibri" w:cs="Century Gothic"/>
          <w:sz w:val="26"/>
          <w:szCs w:val="26"/>
        </w:rPr>
        <w:t xml:space="preserve"> </w:t>
      </w:r>
      <w:r w:rsidRPr="00254BB6">
        <w:rPr>
          <w:rFonts w:ascii="Calibri" w:hAnsi="Calibri" w:cs="Century Gothic"/>
          <w:sz w:val="26"/>
          <w:szCs w:val="26"/>
        </w:rPr>
        <w:t>of their behaviour on the other person?</w:t>
      </w: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lastRenderedPageBreak/>
        <w:t>In dealing with an incident of this nature the answers are not always clear cut. If we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are concerned or unsure as to whether or not there is any risk involved, we will seek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advice from Children’s Social Care.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Repetition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Has the behaviour been repeated to an individual on more than one occasion? In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same way it must be considered has the behaviour persisted to an individual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after the issue has already been discussed or dealt with and appropriately resolved?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Next Steps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Once the outcome of the incident(s) has been established it is necessary to ensure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future incidents of abuse do not occur again and consider the support and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intervention required for those involved.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For the child who has been harmed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 xml:space="preserve">What support they require depends on the individual </w:t>
      </w:r>
      <w:proofErr w:type="gramStart"/>
      <w:r w:rsidRPr="002B2760">
        <w:rPr>
          <w:rFonts w:ascii="Calibri" w:hAnsi="Calibri" w:cs="Century Gothic"/>
          <w:sz w:val="26"/>
          <w:szCs w:val="26"/>
        </w:rPr>
        <w:t>child.</w:t>
      </w:r>
      <w:proofErr w:type="gramEnd"/>
      <w:r w:rsidRPr="002B2760">
        <w:rPr>
          <w:rFonts w:ascii="Calibri" w:hAnsi="Calibri" w:cs="Century Gothic"/>
          <w:sz w:val="26"/>
          <w:szCs w:val="26"/>
        </w:rPr>
        <w:t xml:space="preserve"> It may be that they wish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 seek counselling or one to one support via a mentor. It may also be that they feel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able to deal with the incident(s) on their own or with support of family and friends. In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which case it is necessary that this child continues to be monitored and offered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 xml:space="preserve">support should they require it in the </w:t>
      </w:r>
      <w:r w:rsidR="00254BB6">
        <w:rPr>
          <w:rFonts w:ascii="Calibri" w:hAnsi="Calibri" w:cs="Century Gothic"/>
          <w:sz w:val="26"/>
          <w:szCs w:val="26"/>
        </w:rPr>
        <w:t>f</w:t>
      </w:r>
      <w:r w:rsidRPr="002B2760">
        <w:rPr>
          <w:rFonts w:ascii="Calibri" w:hAnsi="Calibri" w:cs="Century Gothic"/>
          <w:sz w:val="26"/>
          <w:szCs w:val="26"/>
        </w:rPr>
        <w:t>uture.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If the incidents are of a bullying nature, the child may need support in improving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peer groups/relationships with other children or some restorative justice work with all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those involved may be required.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Other interventions that could be considered may target a whole class or year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group for example a speaker on cyber bullying, relationship abuse etc. It may be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that through the continued curriculum of PHSE and SMSC that certain issues can be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discussed and debated more frequently.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If the child feels particularly vulnerable it may be that a risk assessment can be put in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place for them whilst in school so that they have someone named that they can talk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to, support strategies for managing future issues and identified services to offer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additional support.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For the child who has displayed harmful behaviour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In this circumstance it is important to find out why the child has behaved in such a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way. It may be that the child is experiencing their own difficulties and may even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have been harmed themselves in a similar way. In such cases support such as one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 one mentoring or counselling may also be necessary. Particular support from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identified services may be necessary through a Team around a child/family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wellbeing/early help referral and the child may require additional support from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family members.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Once the support required to meet the individual needs of the child has been met, it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is important that child receives a consequence for their behaviour. This may be in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form of restorative justice e.g. making amends with the child they have targeted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if this has been some form of bullying. In the cases of sexually harmful behaviour it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 xml:space="preserve">may be a requirement for the child </w:t>
      </w:r>
      <w:r w:rsidRPr="002B2760">
        <w:rPr>
          <w:rFonts w:ascii="Calibri" w:hAnsi="Calibri" w:cs="Century Gothic"/>
          <w:sz w:val="26"/>
          <w:szCs w:val="26"/>
        </w:rPr>
        <w:lastRenderedPageBreak/>
        <w:t>to engage in one to one work with a particular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service or agency (if a crime has been committed this may be through the Police or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Youth Offending Service). If there is any form of criminal investigation ongoing it may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be that this child cannot be educated on site until the investigation has concluded.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 which case, the children will need to be provided with appropriate support and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education whilst off site.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Even following the conclusion of any investigation the behaviour that the child has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displayed may continue to pose a risk to others in which case an individual risk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assessment may be required. This would be completed via a multiagency response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 ensure that the needs of the child and the risks towards others are measured by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all of those agencies involved including the child and their parents/carers. This may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mean additional supervision of the child or protective strategies if the child feels at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risk of engaging in further inappropriate or harmful behaviour.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>At Edith Cavell</w:t>
      </w:r>
      <w:r w:rsidR="007513DA" w:rsidRPr="002B2760">
        <w:rPr>
          <w:rFonts w:ascii="Calibri" w:hAnsi="Calibri" w:cs="Century Gothic"/>
          <w:sz w:val="26"/>
          <w:szCs w:val="26"/>
        </w:rPr>
        <w:t xml:space="preserve"> Primary School, we may also choose a punishment as a consequence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such as exclusion or internal exclusion/inclusion/seclusion for a period of time to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allow the child to reflect on their behaviour.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After care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It is important that following the incident the children involved continue to feel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supported and receive help even if they have stated that they are managing the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incident. Sometimes the feelings of remorse, regret or unhappiness may occur at a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much later stage than the incident. It is important to ensure that the children do not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engage in any further harmful behaviour either towards someone else or to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themselves as a way of coping (e.g. self-harm). In which case, regular reviews with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children following the incident(s) are imperative.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  <w:r w:rsidRPr="002B2760">
        <w:rPr>
          <w:rFonts w:ascii="Calibri" w:hAnsi="Calibri" w:cs="Century Gothic,Bold"/>
          <w:b/>
          <w:bCs/>
          <w:sz w:val="26"/>
          <w:szCs w:val="26"/>
        </w:rPr>
        <w:t>Preventative Strategies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>At Edith Cavell</w:t>
      </w:r>
      <w:r w:rsidR="007513DA" w:rsidRPr="002B2760">
        <w:rPr>
          <w:rFonts w:ascii="Calibri" w:hAnsi="Calibri" w:cs="Century Gothic"/>
          <w:sz w:val="26"/>
          <w:szCs w:val="26"/>
        </w:rPr>
        <w:t xml:space="preserve"> Primary School, we have developed appropriate strategies in order to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prevent the issue of peer on peer abuse rather than manage the issues in a reactive</w:t>
      </w:r>
      <w:r>
        <w:rPr>
          <w:rFonts w:ascii="Calibri" w:hAnsi="Calibri" w:cs="Century Gothic"/>
          <w:sz w:val="26"/>
          <w:szCs w:val="26"/>
        </w:rPr>
        <w:t xml:space="preserve"> </w:t>
      </w:r>
      <w:r w:rsidR="007513DA" w:rsidRPr="002B2760">
        <w:rPr>
          <w:rFonts w:ascii="Calibri" w:hAnsi="Calibri" w:cs="Century Gothic"/>
          <w:sz w:val="26"/>
          <w:szCs w:val="26"/>
        </w:rPr>
        <w:t>way.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Firstly, and most importantly for us is recognition that peer on peer abuse can and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will occur on any site even with the most stringent of policies and support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mechanisms. In which case it is important to continue to recognise and manage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such risks and learn how to improve and move forward with strategies in supporting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children to talk about any issues and through sharing information with all staff.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254BB6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This is supported by ensuring that we have an open environment where children feel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safe to share information about anything that is upsetting or worrying them. This is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strengthened through a strong and positive PSHE/SMSC curriculum that tackles such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issues as prejudiced behaviour and gives children an open forum to talk things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through rather than seek one on one opportunities to be harmful to one another.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To enable such an open and honest environment it is necessary to ensure the whole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workforce feels confident and enabled to talk about issues and challenge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perceptions of children including use of inappropriate language and behaviour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towards one another. In order to create such an environment, it is necessary for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whole staff training and CPD around abusive behaviours and talking to children in a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way that continues to create an open and honest environment without prejudice. It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is incredibly important that staff do not dismiss issues as ‘banter’ or ‘growing up’ or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lastRenderedPageBreak/>
        <w:t>compare them to their own experiences of childhood. It is necessary that staff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consider each issue and each individual in their own right before taking action. If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staff minimise the concerns raised, it may result in a child seeking no further help or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advice.</w:t>
      </w:r>
    </w:p>
    <w:p w:rsidR="00254BB6" w:rsidRPr="00254BB6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It is important that signposting is available to children in the event that they don’t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feel confident raising an issue to staff or a peer. It is useful to have a resource board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with support services on a wide range of issues so children can seek their own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solutions should they wish to. In the same way external services or support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programmes could be brought in to talk to children about specific issues in support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of the prevention of peer on peer abuse.</w:t>
      </w:r>
    </w:p>
    <w:p w:rsidR="00254BB6" w:rsidRPr="00254BB6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Finally, it is useful to ensure children are part of changing their circumstances and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that of the procedures within</w:t>
      </w:r>
      <w:r w:rsidR="003106EC">
        <w:rPr>
          <w:rFonts w:ascii="Calibri" w:hAnsi="Calibri" w:cs="Century Gothic"/>
          <w:sz w:val="26"/>
          <w:szCs w:val="26"/>
        </w:rPr>
        <w:t xml:space="preserve"> schools. As such, at Edith Cavell</w:t>
      </w:r>
      <w:r w:rsidRPr="002B2760">
        <w:rPr>
          <w:rFonts w:ascii="Calibri" w:hAnsi="Calibri" w:cs="Century Gothic"/>
          <w:sz w:val="26"/>
          <w:szCs w:val="26"/>
        </w:rPr>
        <w:t xml:space="preserve"> Primary School, we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have an Article 12 Committee and pupil voice. We also encourage children to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support changes and develop ‘rules of acceptable behaviour’ which will go far in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helping to create a positive ethos in our school and one where all children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understand the boundaries of behaviour before it becomes abusive.</w:t>
      </w:r>
    </w:p>
    <w:p w:rsidR="00254BB6" w:rsidRPr="002B2760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26"/>
          <w:szCs w:val="26"/>
        </w:rPr>
      </w:pPr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>References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 xml:space="preserve">Whatis.com </w:t>
      </w:r>
      <w:hyperlink r:id="rId10" w:history="1">
        <w:r w:rsidR="00F725A5" w:rsidRPr="00F563E3">
          <w:rPr>
            <w:rStyle w:val="Hyperlink"/>
            <w:rFonts w:ascii="Calibri" w:hAnsi="Calibri" w:cs="Century Gothic"/>
            <w:sz w:val="26"/>
            <w:szCs w:val="26"/>
          </w:rPr>
          <w:t>http://whatis.techtarget.com/definition/cyberbullying</w:t>
        </w:r>
      </w:hyperlink>
      <w:r w:rsidR="00F725A5">
        <w:rPr>
          <w:rFonts w:ascii="Calibri" w:hAnsi="Calibri" w:cs="Century Gothic"/>
          <w:color w:val="000000"/>
          <w:sz w:val="26"/>
          <w:szCs w:val="26"/>
        </w:rPr>
        <w:t xml:space="preserve"> 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 xml:space="preserve">New Choices 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Inc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 xml:space="preserve"> </w:t>
      </w:r>
      <w:hyperlink r:id="rId11" w:history="1">
        <w:r w:rsidR="00F725A5" w:rsidRPr="00F563E3">
          <w:rPr>
            <w:rStyle w:val="Hyperlink"/>
            <w:rFonts w:ascii="Calibri" w:hAnsi="Calibri" w:cs="Century Gothic"/>
            <w:sz w:val="26"/>
            <w:szCs w:val="26"/>
          </w:rPr>
          <w:t>http://newchoicesinc.org/educated/abuse/TDV/def</w:t>
        </w:r>
      </w:hyperlink>
      <w:r w:rsidR="00F725A5">
        <w:rPr>
          <w:rFonts w:ascii="Calibri" w:hAnsi="Calibri" w:cs="Century Gothic"/>
          <w:color w:val="000000"/>
          <w:sz w:val="26"/>
          <w:szCs w:val="26"/>
        </w:rPr>
        <w:t xml:space="preserve"> 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This is abuse campaign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https://www.gov.uk/government/uploads/system/uploads/attachment_data/file/41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001 0/2015-03-08_This_is_Abuse_campaign_summary_report__2_.pdf</w:t>
      </w:r>
      <w:r w:rsidR="00F725A5">
        <w:rPr>
          <w:rFonts w:ascii="Calibri" w:hAnsi="Calibri" w:cs="Century Gothic"/>
          <w:color w:val="000000"/>
          <w:sz w:val="26"/>
          <w:szCs w:val="26"/>
        </w:rPr>
        <w:t xml:space="preserve"> 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Stop bullying.gov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http://www.stopbullying.gov/what-is bullying/definition/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index.html#types</w:t>
      </w:r>
      <w:proofErr w:type="spellEnd"/>
      <w:r w:rsidR="00F725A5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Holding Together: equalities, difference and cohesion, a resource for school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improvement planning, published for Derbyshire Education Authority by Trentham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Books, summer 2009.</w:t>
      </w:r>
    </w:p>
    <w:p w:rsidR="00254BB6" w:rsidRPr="002B2760" w:rsidRDefault="00254BB6" w:rsidP="00254BB6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EACH resources for LGBT</w:t>
      </w:r>
    </w:p>
    <w:p w:rsidR="007513DA" w:rsidRPr="002B2760" w:rsidRDefault="007513DA" w:rsidP="00254BB6">
      <w:pPr>
        <w:autoSpaceDE w:val="0"/>
        <w:autoSpaceDN w:val="0"/>
        <w:adjustRightInd w:val="0"/>
        <w:spacing w:line="360" w:lineRule="auto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CEOP</w:t>
      </w:r>
    </w:p>
    <w:p w:rsidR="007513DA" w:rsidRPr="002B2760" w:rsidRDefault="00644461" w:rsidP="00254BB6">
      <w:pPr>
        <w:spacing w:line="360" w:lineRule="auto"/>
        <w:rPr>
          <w:rFonts w:ascii="Calibri" w:hAnsi="Calibri" w:cs="Century Gothic"/>
          <w:color w:val="0563C2"/>
          <w:sz w:val="26"/>
          <w:szCs w:val="26"/>
        </w:rPr>
      </w:pPr>
      <w:hyperlink r:id="rId12" w:history="1">
        <w:r w:rsidR="007513DA" w:rsidRPr="002B2760">
          <w:rPr>
            <w:rStyle w:val="Hyperlink"/>
            <w:rFonts w:ascii="Calibri" w:hAnsi="Calibri" w:cs="Century Gothic"/>
            <w:sz w:val="26"/>
            <w:szCs w:val="26"/>
          </w:rPr>
          <w:t>https://www.ceop.police.uk/Media-Centre/Press-releases/2009/What-doessextingmean</w:t>
        </w:r>
      </w:hyperlink>
    </w:p>
    <w:p w:rsidR="007513DA" w:rsidRPr="002B2760" w:rsidRDefault="007513DA">
      <w:pPr>
        <w:rPr>
          <w:rFonts w:ascii="Calibri" w:hAnsi="Calibri" w:cs="Century Gothic"/>
          <w:color w:val="0563C2"/>
          <w:sz w:val="26"/>
          <w:szCs w:val="26"/>
        </w:rPr>
      </w:pPr>
      <w:r w:rsidRPr="002B2760">
        <w:rPr>
          <w:rFonts w:ascii="Calibri" w:hAnsi="Calibri" w:cs="Century Gothic"/>
          <w:color w:val="0563C2"/>
          <w:sz w:val="26"/>
          <w:szCs w:val="26"/>
        </w:rPr>
        <w:br w:type="page"/>
      </w:r>
    </w:p>
    <w:p w:rsidR="007513DA" w:rsidRPr="00254BB6" w:rsidRDefault="007513DA" w:rsidP="00254BB6">
      <w:pPr>
        <w:autoSpaceDE w:val="0"/>
        <w:autoSpaceDN w:val="0"/>
        <w:adjustRightInd w:val="0"/>
        <w:jc w:val="center"/>
        <w:rPr>
          <w:rFonts w:ascii="Calibri" w:hAnsi="Calibri" w:cs="Century Gothic,Bold"/>
          <w:b/>
          <w:bCs/>
          <w:sz w:val="26"/>
          <w:szCs w:val="26"/>
          <w:u w:val="single"/>
        </w:rPr>
      </w:pPr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lastRenderedPageBreak/>
        <w:t>Appendix A</w:t>
      </w:r>
    </w:p>
    <w:p w:rsidR="00254BB6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</w:rPr>
      </w:pPr>
    </w:p>
    <w:p w:rsidR="007513DA" w:rsidRPr="00254BB6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  <w:u w:val="single"/>
        </w:rPr>
      </w:pPr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t xml:space="preserve">A child's legal rights </w:t>
      </w:r>
      <w:proofErr w:type="spellStart"/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t>Gillick</w:t>
      </w:r>
      <w:proofErr w:type="spellEnd"/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t xml:space="preserve"> competency and Fraser guidelines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>When we are trying to decide whether a child is mature enough to make decisions,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people often talk about whether a child is '</w:t>
      </w:r>
      <w:proofErr w:type="spellStart"/>
      <w:r w:rsidRPr="002B2760">
        <w:rPr>
          <w:rFonts w:ascii="Calibri" w:hAnsi="Calibri" w:cs="Century Gothic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sz w:val="26"/>
          <w:szCs w:val="26"/>
        </w:rPr>
        <w:t xml:space="preserve"> competent' or whether they meet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the 'Fraser guidelines'.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 xml:space="preserve">The </w:t>
      </w:r>
      <w:proofErr w:type="spellStart"/>
      <w:r w:rsidRPr="002B2760">
        <w:rPr>
          <w:rFonts w:ascii="Calibri" w:hAnsi="Calibri" w:cs="Century Gothic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sz w:val="26"/>
          <w:szCs w:val="26"/>
        </w:rPr>
        <w:t xml:space="preserve"> competency and Fraser guidelines help us all to balance children’s rights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and wishes with our responsibility to keep children safe from harm</w:t>
      </w:r>
      <w:r w:rsidR="00254BB6">
        <w:rPr>
          <w:rFonts w:ascii="Calibri" w:hAnsi="Calibri" w:cs="Century Gothic"/>
          <w:sz w:val="26"/>
          <w:szCs w:val="26"/>
        </w:rPr>
        <w:t>.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Pr="00254BB6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26"/>
          <w:szCs w:val="26"/>
          <w:u w:val="single"/>
        </w:rPr>
      </w:pPr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t>What do '</w:t>
      </w:r>
      <w:proofErr w:type="spellStart"/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t>Gillick</w:t>
      </w:r>
      <w:proofErr w:type="spellEnd"/>
      <w:r w:rsidRPr="00254BB6">
        <w:rPr>
          <w:rFonts w:ascii="Calibri" w:hAnsi="Calibri" w:cs="Century Gothic,Bold"/>
          <w:b/>
          <w:bCs/>
          <w:sz w:val="26"/>
          <w:szCs w:val="26"/>
          <w:u w:val="single"/>
        </w:rPr>
        <w:t xml:space="preserve"> competency' and 'Fraser guidelines' refer to?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proofErr w:type="spellStart"/>
      <w:r w:rsidRPr="002B2760">
        <w:rPr>
          <w:rFonts w:ascii="Calibri" w:hAnsi="Calibri" w:cs="Century Gothic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sz w:val="26"/>
          <w:szCs w:val="26"/>
        </w:rPr>
        <w:t xml:space="preserve"> competency and Fraser guidelines refer to a legal case which looked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specifically at whether doctors should be able to give contraceptive advice or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treatment to under 16-year-olds without parental consent. But since then, they have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been more widely used to help assess whether a child has the maturity to make their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own decisions and to understand the implications of those decisions.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254BB6">
      <w:pPr>
        <w:autoSpaceDE w:val="0"/>
        <w:autoSpaceDN w:val="0"/>
        <w:adjustRightInd w:val="0"/>
        <w:rPr>
          <w:rFonts w:ascii="Calibri" w:hAnsi="Calibri" w:cs="Century Gothic"/>
          <w:sz w:val="26"/>
          <w:szCs w:val="26"/>
        </w:rPr>
      </w:pPr>
      <w:r w:rsidRPr="002B2760">
        <w:rPr>
          <w:rFonts w:ascii="Calibri" w:hAnsi="Calibri" w:cs="Century Gothic"/>
          <w:sz w:val="26"/>
          <w:szCs w:val="26"/>
        </w:rPr>
        <w:t xml:space="preserve">In 1982 Mrs Victoria </w:t>
      </w:r>
      <w:proofErr w:type="spellStart"/>
      <w:r w:rsidRPr="002B2760">
        <w:rPr>
          <w:rFonts w:ascii="Calibri" w:hAnsi="Calibri" w:cs="Century Gothic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sz w:val="26"/>
          <w:szCs w:val="26"/>
        </w:rPr>
        <w:t xml:space="preserve"> took her local health authority (West Norfolk and </w:t>
      </w:r>
      <w:proofErr w:type="spellStart"/>
      <w:r w:rsidRPr="002B2760">
        <w:rPr>
          <w:rFonts w:ascii="Calibri" w:hAnsi="Calibri" w:cs="Century Gothic"/>
          <w:sz w:val="26"/>
          <w:szCs w:val="26"/>
        </w:rPr>
        <w:t>Wisbech</w:t>
      </w:r>
      <w:proofErr w:type="spellEnd"/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Area Health Authority) and the Department of Health and Social Security to court in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an attempt to stop doctors from giving contraceptive advice or treatment to under</w:t>
      </w:r>
      <w:r w:rsidR="00254BB6">
        <w:rPr>
          <w:rFonts w:ascii="Calibri" w:hAnsi="Calibri" w:cs="Century Gothic"/>
          <w:sz w:val="26"/>
          <w:szCs w:val="26"/>
        </w:rPr>
        <w:t xml:space="preserve"> </w:t>
      </w:r>
      <w:r w:rsidRPr="002B2760">
        <w:rPr>
          <w:rFonts w:ascii="Calibri" w:hAnsi="Calibri" w:cs="Century Gothic"/>
          <w:sz w:val="26"/>
          <w:szCs w:val="26"/>
        </w:rPr>
        <w:t>16-year-olds without parental consent.</w:t>
      </w:r>
    </w:p>
    <w:p w:rsidR="00254BB6" w:rsidRPr="00CF2E67" w:rsidRDefault="00254BB6" w:rsidP="00254BB6">
      <w:pPr>
        <w:autoSpaceDE w:val="0"/>
        <w:autoSpaceDN w:val="0"/>
        <w:adjustRightInd w:val="0"/>
        <w:rPr>
          <w:rFonts w:ascii="Calibri" w:hAnsi="Calibri" w:cs="Century Gothic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The case went to the High Court in 1984 where Mr Justice Woolf dismissed Mrs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Gillick’s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 xml:space="preserve"> claims. The Court of Appeal reversed this decision, but in 1985 it went to the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 xml:space="preserve">House of Lords and the Law Lords (Lord 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Scarman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>, Lord Fraser and Lord Bridge) ruled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in favour of the original judgment delivered by Mr Justice Woolf: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"...whether or not a child is capable of giving the necessary consent will depend on</w:t>
      </w: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the child’s maturity and understanding and the nature of the consent required. The</w:t>
      </w: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child must be capable of making a reasonable assessment of the advantages and</w:t>
      </w: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disadvantages of the treatment proposed, so the consent, if given, can be properly</w:t>
      </w: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 xml:space="preserve">and fairly described as true consent." </w:t>
      </w:r>
      <w:r w:rsidRPr="002B2760">
        <w:rPr>
          <w:rFonts w:ascii="Calibri" w:hAnsi="Calibri" w:cs="Century Gothic"/>
          <w:color w:val="0000FF"/>
          <w:sz w:val="26"/>
          <w:szCs w:val="26"/>
        </w:rPr>
        <w:t>(</w:t>
      </w:r>
      <w:proofErr w:type="spellStart"/>
      <w:r w:rsidRPr="002B2760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00FF"/>
          <w:sz w:val="26"/>
          <w:szCs w:val="26"/>
        </w:rPr>
        <w:t xml:space="preserve"> v West Norfolk, 1984)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16"/>
          <w:szCs w:val="1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26"/>
          <w:szCs w:val="26"/>
        </w:rPr>
      </w:pPr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>How are the Fraser Guidelines applied?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The Fraser guidelines refer to the guidelines set out by Lord Fraser in his judgment of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 xml:space="preserve">the 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 xml:space="preserve"> case in the House of Lords (1985), which apply specifically to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contraceptive advice. Lord Fraser stated that a doctor could proceed to give</w:t>
      </w:r>
      <w:r w:rsidR="00254BB6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advice and treatment:</w:t>
      </w:r>
    </w:p>
    <w:p w:rsidR="00254BB6" w:rsidRPr="00CF2E67" w:rsidRDefault="00254BB6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Default="007513DA" w:rsidP="007513DA">
      <w:pPr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"provided he is satisfied in the following criteria:</w:t>
      </w:r>
    </w:p>
    <w:p w:rsidR="00CF2E67" w:rsidRPr="00CF2E67" w:rsidRDefault="00CF2E67" w:rsidP="007513DA">
      <w:pPr>
        <w:rPr>
          <w:rFonts w:ascii="Calibri" w:hAnsi="Calibri" w:cs="Century Gothic"/>
          <w:color w:val="000000"/>
          <w:sz w:val="16"/>
          <w:szCs w:val="16"/>
        </w:rPr>
      </w:pPr>
    </w:p>
    <w:p w:rsidR="007513DA" w:rsidRPr="002B2760" w:rsidRDefault="007513DA" w:rsidP="00CF2E67">
      <w:pPr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1. that the girl (although under the age of 16 years of age) will understand his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advice;</w:t>
      </w:r>
    </w:p>
    <w:p w:rsidR="007513DA" w:rsidRPr="002B2760" w:rsidRDefault="007513DA" w:rsidP="00CF2E67">
      <w:pPr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2. that he cannot persuade her to inform her parents or to allow him to inform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the parents that she is seeking contraceptive advice;</w:t>
      </w:r>
    </w:p>
    <w:p w:rsidR="007513DA" w:rsidRPr="002B2760" w:rsidRDefault="007513DA" w:rsidP="00CF2E67">
      <w:pPr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3. that she is very likely to continue having sexual intercourse with or without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contraceptive treatment;</w:t>
      </w:r>
    </w:p>
    <w:p w:rsidR="007513DA" w:rsidRPr="002B2760" w:rsidRDefault="007513DA" w:rsidP="00CF2E67">
      <w:pPr>
        <w:autoSpaceDE w:val="0"/>
        <w:autoSpaceDN w:val="0"/>
        <w:adjustRightInd w:val="0"/>
        <w:ind w:left="72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4. that unless she receives contraceptive advice or treatment her physical or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mental healt</w:t>
      </w:r>
      <w:r w:rsidR="00CF2E67">
        <w:rPr>
          <w:rFonts w:ascii="Calibri" w:hAnsi="Calibri" w:cs="Century Gothic"/>
          <w:color w:val="000000"/>
          <w:sz w:val="26"/>
          <w:szCs w:val="26"/>
        </w:rPr>
        <w:t>h or both are likely to suffer;</w:t>
      </w:r>
    </w:p>
    <w:p w:rsidR="007513DA" w:rsidRDefault="007513DA" w:rsidP="00CF2E67">
      <w:pPr>
        <w:autoSpaceDE w:val="0"/>
        <w:autoSpaceDN w:val="0"/>
        <w:adjustRightInd w:val="0"/>
        <w:ind w:left="720"/>
        <w:rPr>
          <w:rFonts w:ascii="Calibri" w:hAnsi="Calibri" w:cs="Century Gothic"/>
          <w:color w:val="0000FF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lastRenderedPageBreak/>
        <w:t>5. that her best interests require him to give her contraceptive advice,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 xml:space="preserve">treatment or both without the parental consent." </w:t>
      </w:r>
      <w:r w:rsidRPr="002B2760">
        <w:rPr>
          <w:rFonts w:ascii="Calibri" w:hAnsi="Calibri" w:cs="Century Gothic"/>
          <w:color w:val="0000FF"/>
          <w:sz w:val="26"/>
          <w:szCs w:val="26"/>
        </w:rPr>
        <w:t>(</w:t>
      </w:r>
      <w:proofErr w:type="spellStart"/>
      <w:r w:rsidRPr="002B2760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00FF"/>
          <w:sz w:val="26"/>
          <w:szCs w:val="26"/>
        </w:rPr>
        <w:t xml:space="preserve"> v West Norfolk, 1985)</w:t>
      </w:r>
    </w:p>
    <w:p w:rsidR="00CF2E67" w:rsidRPr="00CF2E67" w:rsidRDefault="00CF2E67" w:rsidP="00CF2E67">
      <w:pPr>
        <w:autoSpaceDE w:val="0"/>
        <w:autoSpaceDN w:val="0"/>
        <w:adjustRightInd w:val="0"/>
        <w:ind w:left="720"/>
        <w:rPr>
          <w:rFonts w:ascii="Calibri" w:hAnsi="Calibri" w:cs="Century Gothic"/>
          <w:color w:val="0000FF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26"/>
          <w:szCs w:val="26"/>
        </w:rPr>
      </w:pPr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 xml:space="preserve">How is </w:t>
      </w:r>
      <w:proofErr w:type="spellStart"/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 xml:space="preserve"> competency assessed?</w:t>
      </w:r>
    </w:p>
    <w:p w:rsidR="00CF2E67" w:rsidRPr="00CF2E67" w:rsidRDefault="00CF2E67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 xml:space="preserve">Lord 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Scarman’s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 xml:space="preserve"> comments in his judgment of the 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 xml:space="preserve"> case in the House of Lords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FF"/>
          <w:sz w:val="26"/>
          <w:szCs w:val="26"/>
        </w:rPr>
        <w:t>(</w:t>
      </w:r>
      <w:proofErr w:type="spellStart"/>
      <w:r w:rsidRPr="002B2760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00FF"/>
          <w:sz w:val="26"/>
          <w:szCs w:val="26"/>
        </w:rPr>
        <w:t xml:space="preserve"> v West Norfolk, 1985) </w:t>
      </w:r>
      <w:r w:rsidRPr="002B2760">
        <w:rPr>
          <w:rFonts w:ascii="Calibri" w:hAnsi="Calibri" w:cs="Century Gothic"/>
          <w:color w:val="000000"/>
          <w:sz w:val="26"/>
          <w:szCs w:val="26"/>
        </w:rPr>
        <w:t>are often referred to as the test of "</w:t>
      </w:r>
      <w:proofErr w:type="spellStart"/>
      <w:r w:rsidRPr="002B2760">
        <w:rPr>
          <w:rFonts w:ascii="Calibri" w:hAnsi="Calibri" w:cs="Century Gothic"/>
          <w:color w:val="000000"/>
          <w:sz w:val="26"/>
          <w:szCs w:val="26"/>
        </w:rPr>
        <w:t>Gillick</w:t>
      </w:r>
      <w:proofErr w:type="spellEnd"/>
      <w:r w:rsidRPr="002B2760">
        <w:rPr>
          <w:rFonts w:ascii="Calibri" w:hAnsi="Calibri" w:cs="Century Gothic"/>
          <w:color w:val="000000"/>
          <w:sz w:val="26"/>
          <w:szCs w:val="26"/>
        </w:rPr>
        <w:t xml:space="preserve"> competency":</w:t>
      </w:r>
    </w:p>
    <w:p w:rsidR="00CF2E67" w:rsidRPr="00CF2E67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"...it is not enough that she should understand the nature of the advice which is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being given: she must also have a sufficient maturity to understand what is involved."</w:t>
      </w:r>
    </w:p>
    <w:p w:rsidR="00CF2E67" w:rsidRPr="00CF2E67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He also commented more generally on parents’ versus children’s rights:</w:t>
      </w:r>
    </w:p>
    <w:p w:rsidR="00CF2E67" w:rsidRPr="00CF2E67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16"/>
          <w:szCs w:val="1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"parental right yields to the child’s right to make his own decisions when he reaches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a sufficient understanding and intelligence to be capable of making up his own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mind on the matter requiring decision."</w:t>
      </w:r>
    </w:p>
    <w:p w:rsidR="00CF2E67" w:rsidRPr="002B2760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</w:p>
    <w:p w:rsidR="007513DA" w:rsidRPr="002B2760" w:rsidRDefault="007513DA" w:rsidP="007513DA">
      <w:pPr>
        <w:autoSpaceDE w:val="0"/>
        <w:autoSpaceDN w:val="0"/>
        <w:adjustRightInd w:val="0"/>
        <w:rPr>
          <w:rFonts w:ascii="Calibri" w:hAnsi="Calibri" w:cs="Century Gothic,Bold"/>
          <w:b/>
          <w:bCs/>
          <w:color w:val="000000"/>
          <w:sz w:val="26"/>
          <w:szCs w:val="26"/>
        </w:rPr>
      </w:pPr>
      <w:r w:rsidRPr="002B2760">
        <w:rPr>
          <w:rFonts w:ascii="Calibri" w:hAnsi="Calibri" w:cs="Century Gothic,Bold"/>
          <w:b/>
          <w:bCs/>
          <w:color w:val="000000"/>
          <w:sz w:val="26"/>
          <w:szCs w:val="26"/>
        </w:rPr>
        <w:t>What are the implications for child protection?</w:t>
      </w: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Professionals working with children need to consider how to balance children’s rights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and wishes with their responsibility to keep children safe from harm.</w:t>
      </w:r>
    </w:p>
    <w:p w:rsidR="00CF2E67" w:rsidRPr="002B2760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</w:p>
    <w:p w:rsidR="007513DA" w:rsidRDefault="007513DA" w:rsidP="00CF2E67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Underage sexual activity should always be seen as a possible indicator of child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sexual exploitation.</w:t>
      </w:r>
    </w:p>
    <w:p w:rsidR="00CF2E67" w:rsidRPr="002B2760" w:rsidRDefault="00CF2E67" w:rsidP="00CF2E67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Sexual activity with a child under 13 is a criminal offence and should always result in</w:t>
      </w:r>
      <w:r w:rsid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2B2760">
        <w:rPr>
          <w:rFonts w:ascii="Calibri" w:hAnsi="Calibri" w:cs="Century Gothic"/>
          <w:color w:val="000000"/>
          <w:sz w:val="26"/>
          <w:szCs w:val="26"/>
        </w:rPr>
        <w:t>a child protection referral.</w:t>
      </w:r>
    </w:p>
    <w:p w:rsidR="00CF2E67" w:rsidRPr="002B2760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</w:p>
    <w:p w:rsidR="007513DA" w:rsidRDefault="007513DA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2B2760">
        <w:rPr>
          <w:rFonts w:ascii="Calibri" w:hAnsi="Calibri" w:cs="Century Gothic"/>
          <w:color w:val="000000"/>
          <w:sz w:val="26"/>
          <w:szCs w:val="26"/>
        </w:rPr>
        <w:t>Further reading</w:t>
      </w:r>
    </w:p>
    <w:p w:rsidR="00CF2E67" w:rsidRPr="002B2760" w:rsidRDefault="00CF2E67" w:rsidP="007513DA">
      <w:p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>British Medical Association (2001) Consent, rights and choices in health care</w:t>
      </w:r>
      <w:r w:rsidR="00CF2E67" w:rsidRP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00"/>
          <w:sz w:val="26"/>
          <w:szCs w:val="26"/>
        </w:rPr>
        <w:t>for children and young people. London: BMJ Publishing Group.</w:t>
      </w: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 xml:space="preserve">British and Irish Legal Information Institute. </w:t>
      </w:r>
      <w:proofErr w:type="spellStart"/>
      <w:r w:rsidRPr="00CF2E67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CF2E67">
        <w:rPr>
          <w:rFonts w:ascii="Calibri" w:hAnsi="Calibri" w:cs="Century Gothic"/>
          <w:color w:val="0000FF"/>
          <w:sz w:val="26"/>
          <w:szCs w:val="26"/>
        </w:rPr>
        <w:t xml:space="preserve"> v West Norfolk &amp; </w:t>
      </w:r>
      <w:proofErr w:type="spellStart"/>
      <w:r w:rsidRPr="00CF2E67">
        <w:rPr>
          <w:rFonts w:ascii="Calibri" w:hAnsi="Calibri" w:cs="Century Gothic"/>
          <w:color w:val="0000FF"/>
          <w:sz w:val="26"/>
          <w:szCs w:val="26"/>
        </w:rPr>
        <w:t>Wisbech</w:t>
      </w:r>
      <w:proofErr w:type="spellEnd"/>
      <w:r w:rsidR="00CF2E67" w:rsidRPr="00CF2E67">
        <w:rPr>
          <w:rFonts w:ascii="Calibri" w:hAnsi="Calibri" w:cs="Century Gothic"/>
          <w:color w:val="0000FF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FF"/>
          <w:sz w:val="26"/>
          <w:szCs w:val="26"/>
        </w:rPr>
        <w:t xml:space="preserve">Area Health Authority, UKHL 7 </w:t>
      </w:r>
      <w:r w:rsidRPr="00CF2E67">
        <w:rPr>
          <w:rFonts w:ascii="Calibri" w:hAnsi="Calibri" w:cs="Century Gothic"/>
          <w:color w:val="000000"/>
          <w:sz w:val="26"/>
          <w:szCs w:val="26"/>
        </w:rPr>
        <w:t>(17 October 1985)</w:t>
      </w: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>Children's Legal Centre (1985) Landmark decision for children's rights.</w:t>
      </w:r>
      <w:r w:rsidR="00CF2E67" w:rsidRP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proofErr w:type="spellStart"/>
      <w:r w:rsidRPr="00CF2E67">
        <w:rPr>
          <w:rFonts w:ascii="Calibri" w:hAnsi="Calibri" w:cs="Century Gothic"/>
          <w:color w:val="000000"/>
          <w:sz w:val="26"/>
          <w:szCs w:val="26"/>
        </w:rPr>
        <w:t>Childright</w:t>
      </w:r>
      <w:proofErr w:type="spellEnd"/>
      <w:r w:rsidRPr="00CF2E67">
        <w:rPr>
          <w:rFonts w:ascii="Calibri" w:hAnsi="Calibri" w:cs="Century Gothic"/>
          <w:color w:val="000000"/>
          <w:sz w:val="26"/>
          <w:szCs w:val="26"/>
        </w:rPr>
        <w:t>, 22: 11-18.</w:t>
      </w: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proofErr w:type="spellStart"/>
      <w:r w:rsidRPr="00CF2E67">
        <w:rPr>
          <w:rFonts w:ascii="Calibri" w:hAnsi="Calibri" w:cs="Century Gothic"/>
          <w:color w:val="000000"/>
          <w:sz w:val="26"/>
          <w:szCs w:val="26"/>
        </w:rPr>
        <w:t>DeCruz</w:t>
      </w:r>
      <w:proofErr w:type="spellEnd"/>
      <w:r w:rsidRPr="00CF2E67">
        <w:rPr>
          <w:rFonts w:ascii="Calibri" w:hAnsi="Calibri" w:cs="Century Gothic"/>
          <w:color w:val="000000"/>
          <w:sz w:val="26"/>
          <w:szCs w:val="26"/>
        </w:rPr>
        <w:t xml:space="preserve">, S. P. (1987) </w:t>
      </w:r>
      <w:r w:rsidRPr="00CF2E67">
        <w:rPr>
          <w:rFonts w:ascii="Calibri" w:hAnsi="Calibri" w:cs="Century Gothic"/>
          <w:color w:val="0000FF"/>
          <w:sz w:val="26"/>
          <w:szCs w:val="26"/>
        </w:rPr>
        <w:t xml:space="preserve">Parents, doctors and children: </w:t>
      </w:r>
      <w:proofErr w:type="gramStart"/>
      <w:r w:rsidRPr="00CF2E67">
        <w:rPr>
          <w:rFonts w:ascii="Calibri" w:hAnsi="Calibri" w:cs="Century Gothic"/>
          <w:color w:val="0000FF"/>
          <w:sz w:val="26"/>
          <w:szCs w:val="26"/>
        </w:rPr>
        <w:t>the</w:t>
      </w:r>
      <w:proofErr w:type="gramEnd"/>
      <w:r w:rsidRPr="00CF2E67">
        <w:rPr>
          <w:rFonts w:ascii="Calibri" w:hAnsi="Calibri" w:cs="Century Gothic"/>
          <w:color w:val="0000FF"/>
          <w:sz w:val="26"/>
          <w:szCs w:val="26"/>
        </w:rPr>
        <w:t xml:space="preserve"> </w:t>
      </w:r>
      <w:proofErr w:type="spellStart"/>
      <w:r w:rsidRPr="00CF2E67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CF2E67">
        <w:rPr>
          <w:rFonts w:ascii="Calibri" w:hAnsi="Calibri" w:cs="Century Gothic"/>
          <w:color w:val="0000FF"/>
          <w:sz w:val="26"/>
          <w:szCs w:val="26"/>
        </w:rPr>
        <w:t xml:space="preserve"> case and</w:t>
      </w:r>
      <w:r w:rsidR="00CF2E67" w:rsidRPr="00CF2E67">
        <w:rPr>
          <w:rFonts w:ascii="Calibri" w:hAnsi="Calibri" w:cs="Century Gothic"/>
          <w:color w:val="0000FF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FF"/>
          <w:sz w:val="26"/>
          <w:szCs w:val="26"/>
        </w:rPr>
        <w:t>beyond</w:t>
      </w:r>
      <w:r w:rsidRPr="00CF2E67">
        <w:rPr>
          <w:rFonts w:ascii="Calibri" w:hAnsi="Calibri" w:cs="Century Gothic"/>
          <w:color w:val="000000"/>
          <w:sz w:val="26"/>
          <w:szCs w:val="26"/>
        </w:rPr>
        <w:t>. Journal of Social Welfare Law (March): 93-108.</w:t>
      </w: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>Gilmore, S. and Herring, J. (2011) 'No' is the hardest word: consent and</w:t>
      </w:r>
      <w:r w:rsidR="00CF2E67" w:rsidRP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00"/>
          <w:sz w:val="26"/>
          <w:szCs w:val="26"/>
        </w:rPr>
        <w:t>children's autonomy. Child and Family Law Quarterly, 23(1): 3-25.</w:t>
      </w: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>McFarlane, A. (2011) Mental capacity: one standard for all ages. Family Law,</w:t>
      </w:r>
      <w:r w:rsidR="00CF2E67" w:rsidRP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00"/>
          <w:sz w:val="26"/>
          <w:szCs w:val="26"/>
        </w:rPr>
        <w:t>41(5): 479-485.</w:t>
      </w:r>
    </w:p>
    <w:p w:rsidR="007513DA" w:rsidRPr="00CF2E67" w:rsidRDefault="00CF2E67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>T</w:t>
      </w:r>
      <w:r w:rsidR="007513DA" w:rsidRPr="00CF2E67">
        <w:rPr>
          <w:rFonts w:ascii="Calibri" w:hAnsi="Calibri" w:cs="Century Gothic"/>
          <w:color w:val="000000"/>
          <w:sz w:val="26"/>
          <w:szCs w:val="26"/>
        </w:rPr>
        <w:t xml:space="preserve">aylor, R. (2007) Reversing the retreat from </w:t>
      </w:r>
      <w:proofErr w:type="spellStart"/>
      <w:r w:rsidR="007513DA" w:rsidRPr="00CF2E67">
        <w:rPr>
          <w:rFonts w:ascii="Calibri" w:hAnsi="Calibri" w:cs="Century Gothic"/>
          <w:color w:val="000000"/>
          <w:sz w:val="26"/>
          <w:szCs w:val="26"/>
        </w:rPr>
        <w:t>Gillick</w:t>
      </w:r>
      <w:proofErr w:type="spellEnd"/>
      <w:r w:rsidR="007513DA" w:rsidRPr="00CF2E67">
        <w:rPr>
          <w:rFonts w:ascii="Calibri" w:hAnsi="Calibri" w:cs="Century Gothic"/>
          <w:color w:val="000000"/>
          <w:sz w:val="26"/>
          <w:szCs w:val="26"/>
        </w:rPr>
        <w:t>? R (Axon) v Secretary of</w:t>
      </w:r>
      <w:r w:rsidRP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="007513DA" w:rsidRPr="00CF2E67">
        <w:rPr>
          <w:rFonts w:ascii="Calibri" w:hAnsi="Calibri" w:cs="Century Gothic"/>
          <w:color w:val="000000"/>
          <w:sz w:val="26"/>
          <w:szCs w:val="26"/>
        </w:rPr>
        <w:t>State for Health. Child and Family Law Quarterly, 19(1): 81-97.</w:t>
      </w:r>
    </w:p>
    <w:p w:rsidR="007513DA" w:rsidRPr="00CF2E67" w:rsidRDefault="007513DA" w:rsidP="00CF2E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entury Gothic"/>
          <w:color w:val="000000"/>
          <w:sz w:val="26"/>
          <w:szCs w:val="26"/>
        </w:rPr>
      </w:pPr>
      <w:r w:rsidRPr="00CF2E67">
        <w:rPr>
          <w:rFonts w:ascii="Calibri" w:hAnsi="Calibri" w:cs="Century Gothic"/>
          <w:color w:val="000000"/>
          <w:sz w:val="26"/>
          <w:szCs w:val="26"/>
        </w:rPr>
        <w:t xml:space="preserve">Wheeler, R. (2006) </w:t>
      </w:r>
      <w:proofErr w:type="spellStart"/>
      <w:r w:rsidRPr="00CF2E67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CF2E67">
        <w:rPr>
          <w:rFonts w:ascii="Calibri" w:hAnsi="Calibri" w:cs="Century Gothic"/>
          <w:color w:val="0000FF"/>
          <w:sz w:val="26"/>
          <w:szCs w:val="26"/>
        </w:rPr>
        <w:t xml:space="preserve"> or Fraser? A plea for consistency over competence</w:t>
      </w:r>
      <w:r w:rsidR="00CF2E67" w:rsidRPr="00CF2E67">
        <w:rPr>
          <w:rFonts w:ascii="Calibri" w:hAnsi="Calibri" w:cs="Century Gothic"/>
          <w:color w:val="0000FF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FF"/>
          <w:sz w:val="26"/>
          <w:szCs w:val="26"/>
        </w:rPr>
        <w:t xml:space="preserve">in children: </w:t>
      </w:r>
      <w:proofErr w:type="spellStart"/>
      <w:r w:rsidRPr="00CF2E67">
        <w:rPr>
          <w:rFonts w:ascii="Calibri" w:hAnsi="Calibri" w:cs="Century Gothic"/>
          <w:color w:val="0000FF"/>
          <w:sz w:val="26"/>
          <w:szCs w:val="26"/>
        </w:rPr>
        <w:t>Gillick</w:t>
      </w:r>
      <w:proofErr w:type="spellEnd"/>
      <w:r w:rsidRPr="00CF2E67">
        <w:rPr>
          <w:rFonts w:ascii="Calibri" w:hAnsi="Calibri" w:cs="Century Gothic"/>
          <w:color w:val="0000FF"/>
          <w:sz w:val="26"/>
          <w:szCs w:val="26"/>
        </w:rPr>
        <w:t xml:space="preserve"> and Fraser are not interchangeable</w:t>
      </w:r>
      <w:r w:rsidRPr="00CF2E67">
        <w:rPr>
          <w:rFonts w:ascii="Calibri" w:hAnsi="Calibri" w:cs="Century Gothic"/>
          <w:color w:val="000000"/>
          <w:sz w:val="26"/>
          <w:szCs w:val="26"/>
        </w:rPr>
        <w:t>. British Medical Journal,</w:t>
      </w:r>
      <w:r w:rsidR="00CF2E67" w:rsidRPr="00CF2E67">
        <w:rPr>
          <w:rFonts w:ascii="Calibri" w:hAnsi="Calibri" w:cs="Century Gothic"/>
          <w:color w:val="000000"/>
          <w:sz w:val="26"/>
          <w:szCs w:val="26"/>
        </w:rPr>
        <w:t xml:space="preserve"> </w:t>
      </w:r>
      <w:r w:rsidRPr="00CF2E67">
        <w:rPr>
          <w:rFonts w:ascii="Calibri" w:hAnsi="Calibri" w:cs="Century Gothic"/>
          <w:color w:val="000000"/>
          <w:sz w:val="26"/>
          <w:szCs w:val="26"/>
        </w:rPr>
        <w:t>332(7545): 807.</w:t>
      </w:r>
    </w:p>
    <w:p w:rsidR="007513DA" w:rsidRPr="002B2760" w:rsidRDefault="007513DA" w:rsidP="007513DA">
      <w:pPr>
        <w:rPr>
          <w:rFonts w:ascii="Calibri" w:hAnsi="Calibri"/>
          <w:sz w:val="26"/>
          <w:szCs w:val="26"/>
        </w:rPr>
      </w:pPr>
    </w:p>
    <w:sectPr w:rsidR="007513DA" w:rsidRPr="002B2760" w:rsidSect="00A17E2C"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61" w:rsidRDefault="00644461" w:rsidP="00A17E2C">
      <w:r>
        <w:separator/>
      </w:r>
    </w:p>
  </w:endnote>
  <w:endnote w:type="continuationSeparator" w:id="0">
    <w:p w:rsidR="00644461" w:rsidRDefault="00644461" w:rsidP="00A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2C" w:rsidRDefault="00A17E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Peer on </w:t>
    </w:r>
    <w:r w:rsidR="00C72BB4">
      <w:rPr>
        <w:rFonts w:asciiTheme="majorHAnsi" w:eastAsiaTheme="majorEastAsia" w:hAnsiTheme="majorHAnsi" w:cstheme="majorBidi"/>
      </w:rPr>
      <w:t>Peer Abuse Policy – June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93152" w:rsidRPr="0079315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7E2C" w:rsidRDefault="00A1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61" w:rsidRDefault="00644461" w:rsidP="00A17E2C">
      <w:r>
        <w:separator/>
      </w:r>
    </w:p>
  </w:footnote>
  <w:footnote w:type="continuationSeparator" w:id="0">
    <w:p w:rsidR="00644461" w:rsidRDefault="00644461" w:rsidP="00A1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845"/>
    <w:multiLevelType w:val="hybridMultilevel"/>
    <w:tmpl w:val="6DF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78CC"/>
    <w:multiLevelType w:val="hybridMultilevel"/>
    <w:tmpl w:val="FC8E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5694"/>
    <w:multiLevelType w:val="hybridMultilevel"/>
    <w:tmpl w:val="5AB6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10D"/>
    <w:multiLevelType w:val="hybridMultilevel"/>
    <w:tmpl w:val="363C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A"/>
    <w:rsid w:val="001952A3"/>
    <w:rsid w:val="00254BB6"/>
    <w:rsid w:val="002B2760"/>
    <w:rsid w:val="003106EC"/>
    <w:rsid w:val="00337174"/>
    <w:rsid w:val="00472A8E"/>
    <w:rsid w:val="005A693E"/>
    <w:rsid w:val="00626569"/>
    <w:rsid w:val="00644461"/>
    <w:rsid w:val="007513DA"/>
    <w:rsid w:val="00793152"/>
    <w:rsid w:val="008608B3"/>
    <w:rsid w:val="00A17E2C"/>
    <w:rsid w:val="00AD502E"/>
    <w:rsid w:val="00C72BB4"/>
    <w:rsid w:val="00CF2E67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AD6F"/>
  <w15:docId w15:val="{97B14D7C-9EE4-4F46-B6A2-E9B7D06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DA"/>
    <w:rPr>
      <w:color w:val="0000FF" w:themeColor="hyperlink"/>
      <w:u w:val="single"/>
    </w:rPr>
  </w:style>
  <w:style w:type="character" w:styleId="Strong">
    <w:name w:val="Strong"/>
    <w:qFormat/>
    <w:rsid w:val="007513DA"/>
    <w:rPr>
      <w:b/>
      <w:bCs/>
    </w:rPr>
  </w:style>
  <w:style w:type="paragraph" w:customStyle="1" w:styleId="aLCPHeading">
    <w:name w:val="a LCP Heading"/>
    <w:basedOn w:val="Heading1"/>
    <w:autoRedefine/>
    <w:rsid w:val="007513D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32"/>
      <w:szCs w:val="32"/>
      <w:lang w:val="en-US"/>
    </w:rPr>
  </w:style>
  <w:style w:type="paragraph" w:customStyle="1" w:styleId="style1149">
    <w:name w:val="style1149"/>
    <w:basedOn w:val="Normal"/>
    <w:rsid w:val="007513DA"/>
    <w:pPr>
      <w:spacing w:before="100" w:beforeAutospacing="1" w:after="100" w:afterAutospacing="1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A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2C"/>
  </w:style>
  <w:style w:type="paragraph" w:styleId="Footer">
    <w:name w:val="footer"/>
    <w:basedOn w:val="Normal"/>
    <w:link w:val="FooterChar"/>
    <w:uiPriority w:val="99"/>
    <w:unhideWhenUsed/>
    <w:rsid w:val="00A1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2C"/>
  </w:style>
  <w:style w:type="paragraph" w:styleId="BalloonText">
    <w:name w:val="Balloon Text"/>
    <w:basedOn w:val="Normal"/>
    <w:link w:val="BalloonTextChar"/>
    <w:uiPriority w:val="99"/>
    <w:semiHidden/>
    <w:unhideWhenUsed/>
    <w:rsid w:val="00A1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ls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eop.police.uk/Media-Centre/Press-releases/2009/What-doessextingm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choicesinc.org/educated/abuse/TDV/d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hatis.techtarget.com/definition/cyberbully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cl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Cavell Lower School</Company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Cooke</dc:creator>
  <cp:lastModifiedBy>Heather Cooke</cp:lastModifiedBy>
  <cp:revision>4</cp:revision>
  <dcterms:created xsi:type="dcterms:W3CDTF">2021-05-04T14:10:00Z</dcterms:created>
  <dcterms:modified xsi:type="dcterms:W3CDTF">2022-11-08T17:52:00Z</dcterms:modified>
</cp:coreProperties>
</file>