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DA" w:rsidRDefault="007513DA">
      <w:pPr>
        <w:rPr>
          <w:rFonts w:ascii="Comic Sans MS" w:hAnsi="Comic Sans MS" w:cs="Century Gothic,Bold"/>
          <w:b/>
          <w:bCs/>
        </w:rPr>
      </w:pPr>
    </w:p>
    <w:p w:rsidR="007513DA" w:rsidRDefault="007513DA">
      <w:pPr>
        <w:rPr>
          <w:rFonts w:ascii="Comic Sans MS" w:hAnsi="Comic Sans MS" w:cs="Century Gothic,Bold"/>
          <w:b/>
          <w:bCs/>
        </w:rPr>
      </w:pPr>
    </w:p>
    <w:p w:rsidR="007513DA" w:rsidRDefault="007513DA" w:rsidP="007513DA">
      <w:pPr>
        <w:rPr>
          <w:rFonts w:ascii="Arial" w:hAnsi="Arial" w:cs="Arial"/>
          <w:b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2487295</wp:posOffset>
            </wp:positionH>
            <wp:positionV relativeFrom="paragraph">
              <wp:posOffset>62865</wp:posOffset>
            </wp:positionV>
            <wp:extent cx="1828800" cy="1600200"/>
            <wp:effectExtent l="0" t="0" r="0" b="0"/>
            <wp:wrapSquare wrapText="bothSides"/>
            <wp:docPr id="1" name="Picture 1" descr="logo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47" r="5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93E" w:rsidRDefault="005A693E" w:rsidP="007513DA">
      <w:pPr>
        <w:rPr>
          <w:rFonts w:ascii="Arial" w:hAnsi="Arial" w:cs="Arial"/>
          <w:b/>
          <w:szCs w:val="20"/>
        </w:rPr>
      </w:pPr>
    </w:p>
    <w:p w:rsidR="005A693E" w:rsidRPr="00395479" w:rsidRDefault="005A693E" w:rsidP="007513DA">
      <w:pPr>
        <w:rPr>
          <w:rFonts w:ascii="Arial" w:hAnsi="Arial" w:cs="Arial"/>
          <w:b/>
          <w:szCs w:val="20"/>
        </w:rPr>
      </w:pPr>
    </w:p>
    <w:p w:rsidR="007513DA" w:rsidRPr="00395479" w:rsidRDefault="007513DA" w:rsidP="007513DA">
      <w:pPr>
        <w:rPr>
          <w:rFonts w:ascii="Arial" w:hAnsi="Arial" w:cs="Arial"/>
          <w:b/>
          <w:szCs w:val="20"/>
        </w:rPr>
      </w:pPr>
    </w:p>
    <w:p w:rsidR="007513DA" w:rsidRPr="00395479" w:rsidRDefault="007513DA" w:rsidP="007513DA"/>
    <w:p w:rsidR="007513DA" w:rsidRPr="000F5EB0" w:rsidRDefault="007513DA" w:rsidP="007513DA">
      <w:pPr>
        <w:pStyle w:val="aLCPHeading"/>
        <w:rPr>
          <w:color w:val="000000"/>
          <w:sz w:val="22"/>
          <w:szCs w:val="22"/>
        </w:rPr>
      </w:pPr>
    </w:p>
    <w:p w:rsidR="007513DA" w:rsidRDefault="007513DA" w:rsidP="007513DA">
      <w:pPr>
        <w:jc w:val="center"/>
        <w:rPr>
          <w:rFonts w:cs="Arial"/>
          <w:color w:val="000000"/>
          <w:sz w:val="28"/>
          <w:szCs w:val="28"/>
        </w:rPr>
      </w:pPr>
    </w:p>
    <w:p w:rsidR="007513DA" w:rsidRDefault="007513DA" w:rsidP="007513DA">
      <w:pPr>
        <w:jc w:val="center"/>
        <w:rPr>
          <w:rFonts w:cs="Arial"/>
          <w:color w:val="000000"/>
          <w:sz w:val="28"/>
          <w:szCs w:val="28"/>
        </w:rPr>
      </w:pPr>
    </w:p>
    <w:p w:rsidR="007513DA" w:rsidRDefault="007513DA" w:rsidP="007513DA">
      <w:pPr>
        <w:rPr>
          <w:rFonts w:cs="Arial"/>
          <w:color w:val="000000"/>
          <w:sz w:val="28"/>
          <w:szCs w:val="28"/>
        </w:rPr>
      </w:pPr>
    </w:p>
    <w:p w:rsidR="007513DA" w:rsidRDefault="007513DA" w:rsidP="005A693E">
      <w:pPr>
        <w:pBdr>
          <w:top w:val="single" w:sz="4" w:space="3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cs="Arial"/>
          <w:sz w:val="36"/>
        </w:rPr>
      </w:pPr>
    </w:p>
    <w:p w:rsidR="007513DA" w:rsidRPr="00C757DE" w:rsidRDefault="007513DA" w:rsidP="007513DA">
      <w:pPr>
        <w:pBdr>
          <w:top w:val="single" w:sz="4" w:space="3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Edith Cavell Primary School</w:t>
      </w:r>
    </w:p>
    <w:p w:rsidR="007513DA" w:rsidRPr="00C757DE" w:rsidRDefault="007513DA" w:rsidP="007513DA">
      <w:pPr>
        <w:pBdr>
          <w:top w:val="single" w:sz="4" w:space="3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40"/>
          <w:szCs w:val="40"/>
        </w:rPr>
      </w:pPr>
    </w:p>
    <w:p w:rsidR="007513DA" w:rsidRPr="00C757DE" w:rsidRDefault="007513DA" w:rsidP="007513DA">
      <w:pPr>
        <w:pBdr>
          <w:top w:val="single" w:sz="4" w:space="31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  <w:sz w:val="38"/>
          <w:u w:val="single"/>
        </w:rPr>
      </w:pPr>
      <w:r>
        <w:rPr>
          <w:rFonts w:ascii="Arial" w:hAnsi="Arial" w:cs="Arial"/>
          <w:b/>
          <w:bCs/>
          <w:sz w:val="50"/>
          <w:szCs w:val="40"/>
        </w:rPr>
        <w:t>Peer on Peer Abuse Policy and Procedures</w:t>
      </w:r>
    </w:p>
    <w:p w:rsidR="007513DA" w:rsidRDefault="007513DA" w:rsidP="005A693E">
      <w:pPr>
        <w:pBdr>
          <w:top w:val="single" w:sz="4" w:space="3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cs="Arial"/>
          <w:sz w:val="28"/>
          <w:u w:val="single"/>
        </w:rPr>
      </w:pPr>
    </w:p>
    <w:p w:rsidR="007513DA" w:rsidRDefault="007513DA" w:rsidP="007513DA">
      <w:pPr>
        <w:rPr>
          <w:rFonts w:cs="Arial"/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9"/>
        <w:gridCol w:w="4154"/>
        <w:gridCol w:w="4391"/>
      </w:tblGrid>
      <w:tr w:rsidR="005A693E" w:rsidTr="005A693E">
        <w:tc>
          <w:tcPr>
            <w:tcW w:w="1668" w:type="dxa"/>
          </w:tcPr>
          <w:p w:rsidR="005A693E" w:rsidRPr="005A693E" w:rsidRDefault="005A693E" w:rsidP="007513DA">
            <w:pPr>
              <w:rPr>
                <w:rFonts w:cs="Arial"/>
                <w:sz w:val="32"/>
                <w:szCs w:val="32"/>
              </w:rPr>
            </w:pPr>
            <w:r w:rsidRPr="005A693E">
              <w:rPr>
                <w:rFonts w:cs="Arial"/>
                <w:sz w:val="32"/>
                <w:szCs w:val="32"/>
              </w:rPr>
              <w:t>Role</w:t>
            </w:r>
          </w:p>
        </w:tc>
        <w:tc>
          <w:tcPr>
            <w:tcW w:w="4252" w:type="dxa"/>
          </w:tcPr>
          <w:p w:rsidR="005A693E" w:rsidRPr="005A693E" w:rsidRDefault="005A693E" w:rsidP="005A693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Designated Safeguarding Lead for Child protection</w:t>
            </w:r>
          </w:p>
        </w:tc>
        <w:tc>
          <w:tcPr>
            <w:tcW w:w="4500" w:type="dxa"/>
          </w:tcPr>
          <w:p w:rsidR="005A693E" w:rsidRPr="005A693E" w:rsidRDefault="002B2760" w:rsidP="002B276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Deputy Designated Safeguarding Lead</w:t>
            </w:r>
          </w:p>
        </w:tc>
      </w:tr>
      <w:tr w:rsidR="005A693E" w:rsidTr="005A693E">
        <w:tc>
          <w:tcPr>
            <w:tcW w:w="1668" w:type="dxa"/>
          </w:tcPr>
          <w:p w:rsidR="005A693E" w:rsidRPr="005A693E" w:rsidRDefault="005A693E" w:rsidP="007513DA">
            <w:pPr>
              <w:rPr>
                <w:rFonts w:cs="Arial"/>
                <w:sz w:val="32"/>
                <w:szCs w:val="32"/>
              </w:rPr>
            </w:pPr>
            <w:r w:rsidRPr="005A693E">
              <w:rPr>
                <w:rFonts w:cs="Arial"/>
                <w:sz w:val="32"/>
                <w:szCs w:val="32"/>
              </w:rPr>
              <w:t>Name</w:t>
            </w:r>
          </w:p>
        </w:tc>
        <w:tc>
          <w:tcPr>
            <w:tcW w:w="4252" w:type="dxa"/>
          </w:tcPr>
          <w:p w:rsidR="005A693E" w:rsidRPr="002B2760" w:rsidRDefault="002B2760" w:rsidP="002B276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Miss Heather Cooke</w:t>
            </w:r>
          </w:p>
        </w:tc>
        <w:tc>
          <w:tcPr>
            <w:tcW w:w="4500" w:type="dxa"/>
          </w:tcPr>
          <w:p w:rsidR="005A693E" w:rsidRPr="002B2760" w:rsidRDefault="002B2760" w:rsidP="002B276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Mrs Sarah Dennis</w:t>
            </w:r>
          </w:p>
        </w:tc>
      </w:tr>
      <w:tr w:rsidR="005A693E" w:rsidTr="005A693E">
        <w:tc>
          <w:tcPr>
            <w:tcW w:w="1668" w:type="dxa"/>
          </w:tcPr>
          <w:p w:rsidR="005A693E" w:rsidRPr="005A693E" w:rsidRDefault="005A693E" w:rsidP="007513DA">
            <w:pPr>
              <w:rPr>
                <w:rFonts w:cs="Arial"/>
                <w:sz w:val="32"/>
                <w:szCs w:val="32"/>
              </w:rPr>
            </w:pPr>
            <w:r w:rsidRPr="005A693E">
              <w:rPr>
                <w:rFonts w:cs="Arial"/>
                <w:sz w:val="32"/>
                <w:szCs w:val="32"/>
              </w:rPr>
              <w:t>Contact via</w:t>
            </w:r>
          </w:p>
        </w:tc>
        <w:tc>
          <w:tcPr>
            <w:tcW w:w="4252" w:type="dxa"/>
          </w:tcPr>
          <w:p w:rsidR="005A693E" w:rsidRDefault="002B2760" w:rsidP="002B276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Main school office</w:t>
            </w:r>
          </w:p>
          <w:p w:rsidR="002B2760" w:rsidRDefault="002B2760" w:rsidP="002B276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Tel: 01234 345636</w:t>
            </w:r>
          </w:p>
          <w:p w:rsidR="002B2760" w:rsidRPr="002B2760" w:rsidRDefault="00644461" w:rsidP="002B2760">
            <w:pPr>
              <w:jc w:val="center"/>
              <w:rPr>
                <w:rFonts w:cs="Arial"/>
              </w:rPr>
            </w:pPr>
            <w:hyperlink r:id="rId8" w:history="1">
              <w:r w:rsidR="002B2760" w:rsidRPr="001A0A22">
                <w:rPr>
                  <w:rStyle w:val="Hyperlink"/>
                  <w:rFonts w:cs="Arial"/>
                </w:rPr>
                <w:t>office@ecls.org.uk</w:t>
              </w:r>
            </w:hyperlink>
            <w:r w:rsidR="002B2760">
              <w:rPr>
                <w:rFonts w:cs="Arial"/>
              </w:rPr>
              <w:t xml:space="preserve"> </w:t>
            </w:r>
          </w:p>
        </w:tc>
        <w:tc>
          <w:tcPr>
            <w:tcW w:w="4500" w:type="dxa"/>
          </w:tcPr>
          <w:p w:rsidR="002B2760" w:rsidRDefault="002B2760" w:rsidP="002B276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Main school office</w:t>
            </w:r>
          </w:p>
          <w:p w:rsidR="002B2760" w:rsidRDefault="002B2760" w:rsidP="002B276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Tel: 01234 345636</w:t>
            </w:r>
          </w:p>
          <w:p w:rsidR="005A693E" w:rsidRPr="002B2760" w:rsidRDefault="00644461" w:rsidP="002B2760">
            <w:pPr>
              <w:jc w:val="center"/>
              <w:rPr>
                <w:rFonts w:cs="Arial"/>
              </w:rPr>
            </w:pPr>
            <w:hyperlink r:id="rId9" w:history="1">
              <w:r w:rsidR="002B2760" w:rsidRPr="001A0A22">
                <w:rPr>
                  <w:rStyle w:val="Hyperlink"/>
                  <w:rFonts w:cs="Arial"/>
                </w:rPr>
                <w:t>office@ecls.org.uk</w:t>
              </w:r>
            </w:hyperlink>
          </w:p>
        </w:tc>
      </w:tr>
      <w:tr w:rsidR="005A693E" w:rsidTr="000B1E47">
        <w:tc>
          <w:tcPr>
            <w:tcW w:w="10420" w:type="dxa"/>
            <w:gridSpan w:val="3"/>
          </w:tcPr>
          <w:p w:rsidR="005A693E" w:rsidRPr="002B2760" w:rsidRDefault="002B2760" w:rsidP="002B276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Our named Governor with special responsibility for child protection and safeguarding is Mr J Leahy</w:t>
            </w:r>
          </w:p>
        </w:tc>
      </w:tr>
    </w:tbl>
    <w:p w:rsidR="007513DA" w:rsidRDefault="007513DA" w:rsidP="007513DA">
      <w:pPr>
        <w:jc w:val="center"/>
        <w:rPr>
          <w:rFonts w:cs="Arial"/>
          <w:sz w:val="36"/>
        </w:rPr>
      </w:pPr>
    </w:p>
    <w:p w:rsidR="00793152" w:rsidRPr="008B44AF" w:rsidRDefault="00793152" w:rsidP="00793152">
      <w:pPr>
        <w:pStyle w:val="style1149"/>
        <w:spacing w:before="0" w:beforeAutospacing="0"/>
        <w:rPr>
          <w:rStyle w:val="Strong"/>
          <w:b w:val="0"/>
          <w:sz w:val="32"/>
          <w:szCs w:val="32"/>
        </w:rPr>
      </w:pPr>
      <w:proofErr w:type="spellStart"/>
      <w:proofErr w:type="gramStart"/>
      <w:r w:rsidRPr="008B44AF">
        <w:rPr>
          <w:rStyle w:val="Strong"/>
          <w:sz w:val="32"/>
          <w:szCs w:val="32"/>
          <w:u w:val="single"/>
        </w:rPr>
        <w:t>Signed:_</w:t>
      </w:r>
      <w:proofErr w:type="gramEnd"/>
      <w:r w:rsidRPr="008B44AF">
        <w:rPr>
          <w:rStyle w:val="Strong"/>
          <w:sz w:val="32"/>
          <w:szCs w:val="32"/>
          <w:u w:val="single"/>
        </w:rPr>
        <w:t>_</w:t>
      </w:r>
      <w:r>
        <w:rPr>
          <w:rStyle w:val="Strong"/>
          <w:rFonts w:ascii="Freestyle Script" w:hAnsi="Freestyle Script"/>
          <w:sz w:val="36"/>
          <w:szCs w:val="36"/>
          <w:u w:val="single"/>
        </w:rPr>
        <w:t>G</w:t>
      </w:r>
      <w:proofErr w:type="spellEnd"/>
      <w:r>
        <w:rPr>
          <w:rStyle w:val="Strong"/>
          <w:rFonts w:ascii="Freestyle Script" w:hAnsi="Freestyle Script"/>
          <w:sz w:val="36"/>
          <w:szCs w:val="36"/>
          <w:u w:val="single"/>
        </w:rPr>
        <w:t xml:space="preserve"> Bishop</w:t>
      </w:r>
      <w:r w:rsidRPr="008B44AF">
        <w:rPr>
          <w:rStyle w:val="Strong"/>
          <w:sz w:val="32"/>
          <w:szCs w:val="32"/>
          <w:u w:val="single"/>
        </w:rPr>
        <w:t xml:space="preserve">________________  </w:t>
      </w:r>
      <w:r w:rsidRPr="008B44AF">
        <w:rPr>
          <w:rStyle w:val="Strong"/>
          <w:sz w:val="32"/>
          <w:szCs w:val="32"/>
        </w:rPr>
        <w:t xml:space="preserve">   Chair of Governors</w:t>
      </w:r>
    </w:p>
    <w:p w:rsidR="00793152" w:rsidRPr="008B44AF" w:rsidRDefault="00793152" w:rsidP="00793152">
      <w:pPr>
        <w:pStyle w:val="style1149"/>
        <w:spacing w:before="0" w:beforeAutospacing="0"/>
        <w:rPr>
          <w:rStyle w:val="Strong"/>
          <w:b w:val="0"/>
          <w:sz w:val="32"/>
          <w:szCs w:val="32"/>
        </w:rPr>
      </w:pPr>
    </w:p>
    <w:p w:rsidR="007513DA" w:rsidRDefault="00793152" w:rsidP="007513DA">
      <w:pPr>
        <w:pStyle w:val="style1149"/>
        <w:spacing w:before="0" w:beforeAutospacing="0"/>
        <w:rPr>
          <w:rStyle w:val="Strong"/>
          <w:b w:val="0"/>
          <w:sz w:val="32"/>
          <w:szCs w:val="32"/>
        </w:rPr>
      </w:pPr>
      <w:bookmarkStart w:id="0" w:name="_GoBack"/>
      <w:bookmarkEnd w:id="0"/>
      <w:proofErr w:type="spellStart"/>
      <w:r w:rsidRPr="008B44AF">
        <w:rPr>
          <w:rStyle w:val="Strong"/>
          <w:sz w:val="32"/>
          <w:szCs w:val="32"/>
          <w:u w:val="single"/>
        </w:rPr>
        <w:t>Signed:___</w:t>
      </w:r>
      <w:r w:rsidRPr="00013578">
        <w:rPr>
          <w:rStyle w:val="Strong"/>
          <w:rFonts w:ascii="Lucida Calligraphy" w:hAnsi="Lucida Calligraphy"/>
          <w:sz w:val="32"/>
          <w:szCs w:val="32"/>
          <w:u w:val="single"/>
        </w:rPr>
        <w:t>H</w:t>
      </w:r>
      <w:proofErr w:type="spellEnd"/>
      <w:r w:rsidRPr="00013578">
        <w:rPr>
          <w:rStyle w:val="Strong"/>
          <w:rFonts w:ascii="Lucida Calligraphy" w:hAnsi="Lucida Calligraphy"/>
          <w:sz w:val="32"/>
          <w:szCs w:val="32"/>
          <w:u w:val="single"/>
        </w:rPr>
        <w:t xml:space="preserve"> Cooke</w:t>
      </w:r>
      <w:r w:rsidRPr="008B44AF">
        <w:rPr>
          <w:rStyle w:val="Strong"/>
          <w:sz w:val="32"/>
          <w:szCs w:val="32"/>
          <w:u w:val="single"/>
        </w:rPr>
        <w:t>_____________</w:t>
      </w:r>
      <w:r w:rsidRPr="008B44AF">
        <w:rPr>
          <w:rStyle w:val="Strong"/>
          <w:sz w:val="32"/>
          <w:szCs w:val="32"/>
        </w:rPr>
        <w:t xml:space="preserve">  Headteacher</w:t>
      </w:r>
    </w:p>
    <w:p w:rsidR="00793152" w:rsidRPr="00793152" w:rsidRDefault="00793152" w:rsidP="007513DA">
      <w:pPr>
        <w:pStyle w:val="style1149"/>
        <w:spacing w:before="0" w:beforeAutospacing="0"/>
        <w:rPr>
          <w:rStyle w:val="Strong"/>
          <w:b w:val="0"/>
          <w:sz w:val="32"/>
          <w:szCs w:val="32"/>
        </w:rPr>
      </w:pPr>
    </w:p>
    <w:p w:rsidR="007513DA" w:rsidRPr="001109B2" w:rsidRDefault="007513DA" w:rsidP="007513DA">
      <w:pPr>
        <w:pStyle w:val="style1149"/>
        <w:spacing w:before="0" w:beforeAutospacing="0"/>
        <w:rPr>
          <w:rStyle w:val="Strong"/>
          <w:b w:val="0"/>
          <w:u w:val="single"/>
        </w:rPr>
      </w:pPr>
      <w:proofErr w:type="spellStart"/>
      <w:proofErr w:type="gramStart"/>
      <w:r w:rsidRPr="001109B2">
        <w:rPr>
          <w:rStyle w:val="Strong"/>
          <w:u w:val="single"/>
        </w:rPr>
        <w:t>Date:_</w:t>
      </w:r>
      <w:proofErr w:type="gramEnd"/>
      <w:r w:rsidRPr="001109B2">
        <w:rPr>
          <w:rStyle w:val="Strong"/>
          <w:u w:val="single"/>
        </w:rPr>
        <w:t>____</w:t>
      </w:r>
      <w:r w:rsidR="00337174">
        <w:rPr>
          <w:rStyle w:val="Strong"/>
          <w:u w:val="single"/>
        </w:rPr>
        <w:t>June</w:t>
      </w:r>
      <w:proofErr w:type="spellEnd"/>
      <w:r w:rsidR="00337174">
        <w:rPr>
          <w:rStyle w:val="Strong"/>
          <w:u w:val="single"/>
        </w:rPr>
        <w:t xml:space="preserve"> 2021</w:t>
      </w:r>
      <w:r w:rsidRPr="001109B2">
        <w:rPr>
          <w:rStyle w:val="Strong"/>
          <w:u w:val="single"/>
        </w:rPr>
        <w:t xml:space="preserve">________________ </w:t>
      </w:r>
    </w:p>
    <w:p w:rsidR="007513DA" w:rsidRPr="001109B2" w:rsidRDefault="007513DA" w:rsidP="007513DA">
      <w:pPr>
        <w:pStyle w:val="style1149"/>
        <w:spacing w:before="0" w:beforeAutospacing="0"/>
        <w:rPr>
          <w:rStyle w:val="Strong"/>
          <w:b w:val="0"/>
          <w:u w:val="single"/>
        </w:rPr>
      </w:pPr>
    </w:p>
    <w:p w:rsidR="007513DA" w:rsidRPr="001109B2" w:rsidRDefault="007513DA" w:rsidP="007513DA">
      <w:pPr>
        <w:pStyle w:val="style1149"/>
        <w:spacing w:before="0" w:beforeAutospacing="0"/>
        <w:rPr>
          <w:rStyle w:val="Strong"/>
          <w:b w:val="0"/>
          <w:u w:val="single"/>
        </w:rPr>
      </w:pPr>
      <w:r w:rsidRPr="001109B2">
        <w:rPr>
          <w:rStyle w:val="Strong"/>
          <w:u w:val="single"/>
        </w:rPr>
        <w:t xml:space="preserve">Review </w:t>
      </w:r>
      <w:proofErr w:type="spellStart"/>
      <w:proofErr w:type="gramStart"/>
      <w:r w:rsidRPr="001109B2">
        <w:rPr>
          <w:rStyle w:val="Strong"/>
          <w:u w:val="single"/>
        </w:rPr>
        <w:t>date:_</w:t>
      </w:r>
      <w:proofErr w:type="gramEnd"/>
      <w:r w:rsidRPr="001109B2">
        <w:rPr>
          <w:rStyle w:val="Strong"/>
          <w:u w:val="single"/>
        </w:rPr>
        <w:t>___</w:t>
      </w:r>
      <w:r w:rsidR="00337174">
        <w:rPr>
          <w:rStyle w:val="Strong"/>
          <w:u w:val="single"/>
        </w:rPr>
        <w:t>June</w:t>
      </w:r>
      <w:proofErr w:type="spellEnd"/>
      <w:r w:rsidR="00337174">
        <w:rPr>
          <w:rStyle w:val="Strong"/>
          <w:u w:val="single"/>
        </w:rPr>
        <w:t xml:space="preserve"> 2024</w:t>
      </w:r>
      <w:r w:rsidRPr="001109B2">
        <w:rPr>
          <w:rStyle w:val="Strong"/>
          <w:u w:val="single"/>
        </w:rPr>
        <w:t>___________</w:t>
      </w:r>
    </w:p>
    <w:p w:rsidR="007513DA" w:rsidRDefault="007513DA">
      <w:pPr>
        <w:rPr>
          <w:rFonts w:ascii="Comic Sans MS" w:hAnsi="Comic Sans MS" w:cs="Century Gothic,Bold"/>
          <w:b/>
          <w:bCs/>
        </w:rPr>
      </w:pPr>
      <w:r>
        <w:rPr>
          <w:rFonts w:ascii="Comic Sans MS" w:hAnsi="Comic Sans MS" w:cs="Century Gothic,Bold"/>
          <w:b/>
          <w:bCs/>
        </w:rPr>
        <w:br w:type="page"/>
      </w:r>
    </w:p>
    <w:p w:rsidR="007513DA" w:rsidRPr="00A17E2C" w:rsidRDefault="007513DA" w:rsidP="00A17E2C">
      <w:pPr>
        <w:jc w:val="center"/>
        <w:rPr>
          <w:rFonts w:ascii="Calibri" w:hAnsi="Calibri" w:cs="Century Gothic,Bold"/>
          <w:b/>
          <w:bCs/>
          <w:sz w:val="26"/>
          <w:szCs w:val="26"/>
          <w:u w:val="single"/>
        </w:rPr>
      </w:pPr>
      <w:r w:rsidRPr="00A17E2C">
        <w:rPr>
          <w:rFonts w:ascii="Calibri" w:hAnsi="Calibri" w:cs="Century Gothic,Bold"/>
          <w:b/>
          <w:bCs/>
          <w:sz w:val="26"/>
          <w:szCs w:val="26"/>
          <w:u w:val="single"/>
        </w:rPr>
        <w:lastRenderedPageBreak/>
        <w:t>To be read alongside the current Safeguarding Policy, Behaviour Policy and E-Safety</w:t>
      </w:r>
    </w:p>
    <w:p w:rsidR="007513DA" w:rsidRPr="00A17E2C" w:rsidRDefault="007513DA" w:rsidP="00A17E2C">
      <w:pPr>
        <w:autoSpaceDE w:val="0"/>
        <w:autoSpaceDN w:val="0"/>
        <w:adjustRightInd w:val="0"/>
        <w:jc w:val="center"/>
        <w:rPr>
          <w:rFonts w:ascii="Calibri" w:hAnsi="Calibri" w:cs="Century Gothic,Bold"/>
          <w:b/>
          <w:bCs/>
          <w:sz w:val="26"/>
          <w:szCs w:val="26"/>
          <w:u w:val="single"/>
        </w:rPr>
      </w:pPr>
      <w:r w:rsidRPr="00A17E2C">
        <w:rPr>
          <w:rFonts w:ascii="Calibri" w:hAnsi="Calibri" w:cs="Century Gothic,Bold"/>
          <w:b/>
          <w:bCs/>
          <w:sz w:val="26"/>
          <w:szCs w:val="26"/>
          <w:u w:val="single"/>
        </w:rPr>
        <w:t>Policy documentation.</w:t>
      </w:r>
    </w:p>
    <w:p w:rsidR="002B2760" w:rsidRPr="00A17E2C" w:rsidRDefault="002B2760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16"/>
          <w:szCs w:val="16"/>
        </w:rPr>
      </w:pPr>
    </w:p>
    <w:p w:rsidR="007513DA" w:rsidRPr="002B2760" w:rsidRDefault="007513DA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26"/>
          <w:szCs w:val="26"/>
        </w:rPr>
      </w:pPr>
      <w:r w:rsidRPr="002B2760">
        <w:rPr>
          <w:rFonts w:ascii="Calibri" w:hAnsi="Calibri" w:cs="Century Gothic,Bold"/>
          <w:b/>
          <w:bCs/>
          <w:sz w:val="26"/>
          <w:szCs w:val="26"/>
        </w:rPr>
        <w:t>Introduction</w:t>
      </w:r>
    </w:p>
    <w:p w:rsidR="002B2760" w:rsidRPr="00A17E2C" w:rsidRDefault="002B2760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AD502E" w:rsidRDefault="007513DA" w:rsidP="00A17E2C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 xml:space="preserve">Keeping </w:t>
      </w:r>
      <w:r w:rsidR="00337174">
        <w:rPr>
          <w:rFonts w:ascii="Calibri" w:hAnsi="Calibri" w:cs="Century Gothic"/>
          <w:sz w:val="26"/>
          <w:szCs w:val="26"/>
        </w:rPr>
        <w:t>Children Safe in Education, 2020</w:t>
      </w:r>
      <w:r w:rsidRPr="002B2760">
        <w:rPr>
          <w:rFonts w:ascii="Calibri" w:hAnsi="Calibri" w:cs="Century Gothic"/>
          <w:sz w:val="26"/>
          <w:szCs w:val="26"/>
        </w:rPr>
        <w:t xml:space="preserve"> states that ‘</w:t>
      </w:r>
      <w:r w:rsidRPr="002B2760">
        <w:rPr>
          <w:rFonts w:ascii="Calibri" w:hAnsi="Calibri" w:cs="Century Gothic,BoldItalic"/>
          <w:b/>
          <w:bCs/>
          <w:i/>
          <w:iCs/>
          <w:sz w:val="26"/>
          <w:szCs w:val="26"/>
        </w:rPr>
        <w:t>Governing bodies and</w:t>
      </w:r>
      <w:r w:rsidR="002B2760">
        <w:rPr>
          <w:rFonts w:ascii="Calibri" w:hAnsi="Calibri" w:cs="Century Gothic,BoldItalic"/>
          <w:b/>
          <w:bCs/>
          <w:i/>
          <w:iCs/>
          <w:sz w:val="26"/>
          <w:szCs w:val="26"/>
        </w:rPr>
        <w:t xml:space="preserve"> </w:t>
      </w:r>
      <w:r w:rsidRPr="002B2760">
        <w:rPr>
          <w:rFonts w:ascii="Calibri" w:hAnsi="Calibri" w:cs="Century Gothic,BoldItalic"/>
          <w:b/>
          <w:bCs/>
          <w:i/>
          <w:iCs/>
          <w:sz w:val="26"/>
          <w:szCs w:val="26"/>
        </w:rPr>
        <w:t>proprietors should ensure that their child protection policy includes: procedures to</w:t>
      </w:r>
      <w:r w:rsidR="002B2760">
        <w:rPr>
          <w:rFonts w:ascii="Calibri" w:hAnsi="Calibri" w:cs="Century Gothic,BoldItalic"/>
          <w:b/>
          <w:bCs/>
          <w:i/>
          <w:iCs/>
          <w:sz w:val="26"/>
          <w:szCs w:val="26"/>
        </w:rPr>
        <w:t xml:space="preserve"> </w:t>
      </w:r>
      <w:r w:rsidRPr="002B2760">
        <w:rPr>
          <w:rFonts w:ascii="Calibri" w:hAnsi="Calibri" w:cs="Century Gothic,BoldItalic"/>
          <w:b/>
          <w:bCs/>
          <w:i/>
          <w:iCs/>
          <w:sz w:val="26"/>
          <w:szCs w:val="26"/>
        </w:rPr>
        <w:t>minimise the risk of peer on peer abuse; how allegations of peer on peer abuse will</w:t>
      </w:r>
      <w:r w:rsidR="002B2760">
        <w:rPr>
          <w:rFonts w:ascii="Calibri" w:hAnsi="Calibri" w:cs="Century Gothic,BoldItalic"/>
          <w:b/>
          <w:bCs/>
          <w:i/>
          <w:iCs/>
          <w:sz w:val="26"/>
          <w:szCs w:val="26"/>
        </w:rPr>
        <w:t xml:space="preserve"> </w:t>
      </w:r>
      <w:r w:rsidRPr="002B2760">
        <w:rPr>
          <w:rFonts w:ascii="Calibri" w:hAnsi="Calibri" w:cs="Century Gothic,BoldItalic"/>
          <w:b/>
          <w:bCs/>
          <w:i/>
          <w:iCs/>
          <w:sz w:val="26"/>
          <w:szCs w:val="26"/>
        </w:rPr>
        <w:t>be recorded, investigated and dealt with and clear processes as to how victims,</w:t>
      </w:r>
      <w:r w:rsidR="002B2760">
        <w:rPr>
          <w:rFonts w:ascii="Calibri" w:hAnsi="Calibri" w:cs="Century Gothic,BoldItalic"/>
          <w:b/>
          <w:bCs/>
          <w:i/>
          <w:iCs/>
          <w:sz w:val="26"/>
          <w:szCs w:val="26"/>
        </w:rPr>
        <w:t xml:space="preserve"> </w:t>
      </w:r>
      <w:r w:rsidRPr="002B2760">
        <w:rPr>
          <w:rFonts w:ascii="Calibri" w:hAnsi="Calibri" w:cs="Century Gothic,BoldItalic"/>
          <w:b/>
          <w:bCs/>
          <w:i/>
          <w:iCs/>
          <w:sz w:val="26"/>
          <w:szCs w:val="26"/>
        </w:rPr>
        <w:t>perpetrators and any other child affected by peer on peer abuse will be supported</w:t>
      </w:r>
      <w:r w:rsidRPr="002B2760">
        <w:rPr>
          <w:rFonts w:ascii="Calibri" w:hAnsi="Calibri" w:cs="Century Gothic"/>
          <w:sz w:val="26"/>
          <w:szCs w:val="26"/>
        </w:rPr>
        <w:t>’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="00337174">
        <w:rPr>
          <w:rFonts w:ascii="Calibri" w:hAnsi="Calibri" w:cs="Century Gothic"/>
          <w:sz w:val="26"/>
          <w:szCs w:val="26"/>
        </w:rPr>
        <w:t>(page 26-27</w:t>
      </w:r>
      <w:r w:rsidRPr="002B2760">
        <w:rPr>
          <w:rFonts w:ascii="Calibri" w:hAnsi="Calibri" w:cs="Century Gothic"/>
          <w:sz w:val="26"/>
          <w:szCs w:val="26"/>
        </w:rPr>
        <w:t>). The document also states it is most important to ensure opportunities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of seeking the voice of the child are heard, ‘</w:t>
      </w:r>
      <w:r w:rsidRPr="002B2760">
        <w:rPr>
          <w:rFonts w:ascii="Calibri" w:hAnsi="Calibri" w:cs="Century Gothic,BoldItalic"/>
          <w:b/>
          <w:bCs/>
          <w:i/>
          <w:iCs/>
          <w:sz w:val="26"/>
          <w:szCs w:val="26"/>
        </w:rPr>
        <w:t>Governing bodies, proprietors and</w:t>
      </w:r>
      <w:r w:rsidR="00A17E2C">
        <w:rPr>
          <w:rFonts w:ascii="Calibri" w:hAnsi="Calibri" w:cs="Century Gothic,BoldItalic"/>
          <w:b/>
          <w:bCs/>
          <w:i/>
          <w:iCs/>
          <w:sz w:val="26"/>
          <w:szCs w:val="26"/>
        </w:rPr>
        <w:t xml:space="preserve"> </w:t>
      </w:r>
      <w:r w:rsidRPr="002B2760">
        <w:rPr>
          <w:rFonts w:ascii="Calibri" w:hAnsi="Calibri" w:cs="Century Gothic,BoldItalic"/>
          <w:b/>
          <w:bCs/>
          <w:i/>
          <w:iCs/>
          <w:sz w:val="26"/>
          <w:szCs w:val="26"/>
        </w:rPr>
        <w:t>school or college leaders should ensure the child’s wishes and feelings are taken</w:t>
      </w:r>
      <w:r w:rsidR="00A17E2C">
        <w:rPr>
          <w:rFonts w:ascii="Calibri" w:hAnsi="Calibri" w:cs="Century Gothic,BoldItalic"/>
          <w:b/>
          <w:bCs/>
          <w:i/>
          <w:iCs/>
          <w:sz w:val="26"/>
          <w:szCs w:val="26"/>
        </w:rPr>
        <w:t xml:space="preserve"> </w:t>
      </w:r>
      <w:r w:rsidRPr="002B2760">
        <w:rPr>
          <w:rFonts w:ascii="Calibri" w:hAnsi="Calibri" w:cs="Century Gothic,BoldItalic"/>
          <w:b/>
          <w:bCs/>
          <w:i/>
          <w:iCs/>
          <w:sz w:val="26"/>
          <w:szCs w:val="26"/>
        </w:rPr>
        <w:t>into account when determining what action to take and what services to provide.</w:t>
      </w:r>
      <w:r w:rsidR="00A17E2C">
        <w:rPr>
          <w:rFonts w:ascii="Calibri" w:hAnsi="Calibri" w:cs="Century Gothic,BoldItalic"/>
          <w:b/>
          <w:bCs/>
          <w:i/>
          <w:iCs/>
          <w:sz w:val="26"/>
          <w:szCs w:val="26"/>
        </w:rPr>
        <w:t xml:space="preserve"> </w:t>
      </w:r>
      <w:r w:rsidRPr="002B2760">
        <w:rPr>
          <w:rFonts w:ascii="Calibri" w:hAnsi="Calibri" w:cs="Century Gothic,BoldItalic"/>
          <w:b/>
          <w:bCs/>
          <w:i/>
          <w:iCs/>
          <w:sz w:val="26"/>
          <w:szCs w:val="26"/>
        </w:rPr>
        <w:t>Systems should be in place for children to express their views and give feedback.</w:t>
      </w:r>
      <w:r w:rsidR="00A17E2C">
        <w:rPr>
          <w:rFonts w:ascii="Calibri" w:hAnsi="Calibri" w:cs="Century Gothic,BoldItalic"/>
          <w:b/>
          <w:bCs/>
          <w:i/>
          <w:iCs/>
          <w:sz w:val="26"/>
          <w:szCs w:val="26"/>
        </w:rPr>
        <w:t xml:space="preserve"> </w:t>
      </w:r>
      <w:r w:rsidRPr="002B2760">
        <w:rPr>
          <w:rFonts w:ascii="Calibri" w:hAnsi="Calibri" w:cs="Century Gothic,BoldItalic"/>
          <w:b/>
          <w:bCs/>
          <w:i/>
          <w:iCs/>
          <w:sz w:val="26"/>
          <w:szCs w:val="26"/>
        </w:rPr>
        <w:t>Ultimately, any system and processes should operate with the best interests of the</w:t>
      </w:r>
      <w:r w:rsidR="00A17E2C">
        <w:rPr>
          <w:rFonts w:ascii="Calibri" w:hAnsi="Calibri" w:cs="Century Gothic,BoldItalic"/>
          <w:b/>
          <w:bCs/>
          <w:i/>
          <w:iCs/>
          <w:sz w:val="26"/>
          <w:szCs w:val="26"/>
        </w:rPr>
        <w:t xml:space="preserve"> </w:t>
      </w:r>
      <w:r w:rsidRPr="002B2760">
        <w:rPr>
          <w:rFonts w:ascii="Calibri" w:hAnsi="Calibri" w:cs="Century Gothic,BoldItalic"/>
          <w:b/>
          <w:bCs/>
          <w:i/>
          <w:iCs/>
          <w:sz w:val="26"/>
          <w:szCs w:val="26"/>
        </w:rPr>
        <w:t>child at their heart.</w:t>
      </w:r>
      <w:r w:rsidRPr="002B2760">
        <w:rPr>
          <w:rFonts w:ascii="Calibri" w:hAnsi="Calibri" w:cs="Century Gothic"/>
          <w:sz w:val="26"/>
          <w:szCs w:val="26"/>
        </w:rPr>
        <w:t>’</w:t>
      </w:r>
    </w:p>
    <w:p w:rsidR="00A17E2C" w:rsidRPr="002B2760" w:rsidRDefault="00A17E2C" w:rsidP="00A17E2C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While it is recommended that Peer on Peer abuse is part of the Safeguarding Policy,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due to the sensitive nature and specific issues involved with peer on peer abuse we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have decided to separate it from the main Safeguarding Policy.</w:t>
      </w:r>
    </w:p>
    <w:p w:rsidR="00A17E2C" w:rsidRPr="002B2760" w:rsidRDefault="00A17E2C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</w:p>
    <w:p w:rsidR="007513DA" w:rsidRDefault="00A17E2C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>
        <w:rPr>
          <w:rFonts w:ascii="Calibri" w:hAnsi="Calibri" w:cs="Century Gothic"/>
          <w:sz w:val="26"/>
          <w:szCs w:val="26"/>
        </w:rPr>
        <w:t>At Edith Cavell</w:t>
      </w:r>
      <w:r w:rsidR="007513DA" w:rsidRPr="002B2760">
        <w:rPr>
          <w:rFonts w:ascii="Calibri" w:hAnsi="Calibri" w:cs="Century Gothic"/>
          <w:sz w:val="26"/>
          <w:szCs w:val="26"/>
        </w:rPr>
        <w:t xml:space="preserve"> Primary School, we continue to ensure that any form of abuse or</w:t>
      </w:r>
      <w:r>
        <w:rPr>
          <w:rFonts w:ascii="Calibri" w:hAnsi="Calibri" w:cs="Century Gothic"/>
          <w:sz w:val="26"/>
          <w:szCs w:val="26"/>
        </w:rPr>
        <w:t xml:space="preserve"> </w:t>
      </w:r>
      <w:r w:rsidR="007513DA" w:rsidRPr="002B2760">
        <w:rPr>
          <w:rFonts w:ascii="Calibri" w:hAnsi="Calibri" w:cs="Century Gothic"/>
          <w:sz w:val="26"/>
          <w:szCs w:val="26"/>
        </w:rPr>
        <w:t>harmful behaviour is dealt with immediately and consistently to reduce the extent of</w:t>
      </w:r>
      <w:r>
        <w:rPr>
          <w:rFonts w:ascii="Calibri" w:hAnsi="Calibri" w:cs="Century Gothic"/>
          <w:sz w:val="26"/>
          <w:szCs w:val="26"/>
        </w:rPr>
        <w:t xml:space="preserve"> </w:t>
      </w:r>
      <w:r w:rsidR="007513DA" w:rsidRPr="002B2760">
        <w:rPr>
          <w:rFonts w:ascii="Calibri" w:hAnsi="Calibri" w:cs="Century Gothic"/>
          <w:sz w:val="26"/>
          <w:szCs w:val="26"/>
        </w:rPr>
        <w:t>harm to the child, with full consideration to the impact on that individual child’s</w:t>
      </w:r>
      <w:r>
        <w:rPr>
          <w:rFonts w:ascii="Calibri" w:hAnsi="Calibri" w:cs="Century Gothic"/>
          <w:sz w:val="26"/>
          <w:szCs w:val="26"/>
        </w:rPr>
        <w:t xml:space="preserve"> </w:t>
      </w:r>
      <w:r w:rsidR="007513DA" w:rsidRPr="002B2760">
        <w:rPr>
          <w:rFonts w:ascii="Calibri" w:hAnsi="Calibri" w:cs="Century Gothic"/>
          <w:sz w:val="26"/>
          <w:szCs w:val="26"/>
        </w:rPr>
        <w:t>emotional and mental health and well-being.</w:t>
      </w:r>
    </w:p>
    <w:p w:rsidR="00A17E2C" w:rsidRPr="002B2760" w:rsidRDefault="00A17E2C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26"/>
          <w:szCs w:val="26"/>
        </w:rPr>
      </w:pPr>
      <w:r w:rsidRPr="002B2760">
        <w:rPr>
          <w:rFonts w:ascii="Calibri" w:hAnsi="Calibri" w:cs="Century Gothic,Bold"/>
          <w:b/>
          <w:bCs/>
          <w:sz w:val="26"/>
          <w:szCs w:val="26"/>
        </w:rPr>
        <w:t>Purpose and Aim</w:t>
      </w:r>
    </w:p>
    <w:p w:rsidR="00A17E2C" w:rsidRPr="00A17E2C" w:rsidRDefault="00A17E2C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Children and young people may be harmful to one another in a number of ways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which would be classified as peer on peer abuse. The purpose of this policy is to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explore the many forms of peer on peer abuse and include a planned and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supportive response to the issues.</w:t>
      </w:r>
    </w:p>
    <w:p w:rsidR="00A17E2C" w:rsidRPr="002B2760" w:rsidRDefault="00A17E2C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</w:p>
    <w:p w:rsidR="007513DA" w:rsidRDefault="00A17E2C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>
        <w:rPr>
          <w:rFonts w:ascii="Calibri" w:hAnsi="Calibri" w:cs="Century Gothic"/>
          <w:sz w:val="26"/>
          <w:szCs w:val="26"/>
        </w:rPr>
        <w:t>At Edith Cavell</w:t>
      </w:r>
      <w:r w:rsidR="007513DA" w:rsidRPr="002B2760">
        <w:rPr>
          <w:rFonts w:ascii="Calibri" w:hAnsi="Calibri" w:cs="Century Gothic"/>
          <w:sz w:val="26"/>
          <w:szCs w:val="26"/>
        </w:rPr>
        <w:t xml:space="preserve"> Primary School, we have the following policies in place that should be</w:t>
      </w:r>
      <w:r>
        <w:rPr>
          <w:rFonts w:ascii="Calibri" w:hAnsi="Calibri" w:cs="Century Gothic"/>
          <w:sz w:val="26"/>
          <w:szCs w:val="26"/>
        </w:rPr>
        <w:t xml:space="preserve"> </w:t>
      </w:r>
      <w:r w:rsidR="007513DA" w:rsidRPr="002B2760">
        <w:rPr>
          <w:rFonts w:ascii="Calibri" w:hAnsi="Calibri" w:cs="Century Gothic"/>
          <w:sz w:val="26"/>
          <w:szCs w:val="26"/>
        </w:rPr>
        <w:t>read in conjunction with this policy:</w:t>
      </w:r>
    </w:p>
    <w:p w:rsidR="00A17E2C" w:rsidRPr="00A17E2C" w:rsidRDefault="00A17E2C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Pr="00A17E2C" w:rsidRDefault="007513DA" w:rsidP="00A17E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A17E2C">
        <w:rPr>
          <w:rFonts w:ascii="Calibri" w:hAnsi="Calibri" w:cs="Century Gothic"/>
          <w:sz w:val="26"/>
          <w:szCs w:val="26"/>
        </w:rPr>
        <w:t>Anti-Bullying Policy</w:t>
      </w:r>
    </w:p>
    <w:p w:rsidR="007513DA" w:rsidRPr="00A17E2C" w:rsidRDefault="001952A3" w:rsidP="00A17E2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>
        <w:rPr>
          <w:rFonts w:ascii="Calibri" w:hAnsi="Calibri" w:cs="Century Gothic"/>
          <w:sz w:val="26"/>
          <w:szCs w:val="26"/>
        </w:rPr>
        <w:t xml:space="preserve">Child protection and </w:t>
      </w:r>
      <w:r w:rsidR="007513DA" w:rsidRPr="00A17E2C">
        <w:rPr>
          <w:rFonts w:ascii="Calibri" w:hAnsi="Calibri" w:cs="Century Gothic"/>
          <w:sz w:val="26"/>
          <w:szCs w:val="26"/>
        </w:rPr>
        <w:t>Safeguarding Policy</w:t>
      </w:r>
    </w:p>
    <w:p w:rsidR="007513DA" w:rsidRPr="00A17E2C" w:rsidRDefault="007513DA" w:rsidP="00A17E2C">
      <w:pPr>
        <w:pStyle w:val="ListParagraph"/>
        <w:numPr>
          <w:ilvl w:val="0"/>
          <w:numId w:val="1"/>
        </w:numPr>
        <w:rPr>
          <w:rFonts w:ascii="Calibri" w:hAnsi="Calibri" w:cs="Century Gothic"/>
          <w:sz w:val="26"/>
          <w:szCs w:val="26"/>
        </w:rPr>
      </w:pPr>
      <w:r w:rsidRPr="00A17E2C">
        <w:rPr>
          <w:rFonts w:ascii="Calibri" w:hAnsi="Calibri" w:cs="Century Gothic"/>
          <w:sz w:val="26"/>
          <w:szCs w:val="26"/>
        </w:rPr>
        <w:t>E-safety Policy</w:t>
      </w:r>
    </w:p>
    <w:p w:rsidR="00A17E2C" w:rsidRPr="00A17E2C" w:rsidRDefault="00A17E2C" w:rsidP="007513DA">
      <w:pPr>
        <w:rPr>
          <w:rFonts w:ascii="Calibri" w:hAnsi="Calibri" w:cs="Century Gothic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26"/>
          <w:szCs w:val="26"/>
        </w:rPr>
      </w:pPr>
      <w:r w:rsidRPr="002B2760">
        <w:rPr>
          <w:rFonts w:ascii="Calibri" w:hAnsi="Calibri" w:cs="Century Gothic,Bold"/>
          <w:b/>
          <w:bCs/>
          <w:sz w:val="26"/>
          <w:szCs w:val="26"/>
        </w:rPr>
        <w:t>Framework and Legislation</w:t>
      </w:r>
    </w:p>
    <w:p w:rsidR="00A17E2C" w:rsidRPr="00A17E2C" w:rsidRDefault="00A17E2C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16"/>
          <w:szCs w:val="16"/>
        </w:rPr>
      </w:pPr>
    </w:p>
    <w:p w:rsidR="007513DA" w:rsidRDefault="007513DA" w:rsidP="00A17E2C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This policy is supported by the key principles of the Children’s Act, 1989 that the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child’s welfare is paramount. Another key document that focuses adult thinking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towards the views of the child is ‘Working Together to Safeguard Children (March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2015/updated February 2017)’, highlighting that every assessment of a child, ‘must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be informed by the views of the child’ and within that ‘It is important to understand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the resilience of the individual child when planning appropriate services. (Working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 xml:space="preserve">Together, 2015:23) This is clearly echoed by Keeping </w:t>
      </w:r>
      <w:r w:rsidR="001952A3">
        <w:rPr>
          <w:rFonts w:ascii="Calibri" w:hAnsi="Calibri" w:cs="Century Gothic"/>
          <w:sz w:val="26"/>
          <w:szCs w:val="26"/>
        </w:rPr>
        <w:t>Children Safe in Education, 2020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through ensuring procedures are in place in schools and settings to hear the voice of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the child.</w:t>
      </w: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26"/>
          <w:szCs w:val="26"/>
        </w:rPr>
      </w:pPr>
      <w:r w:rsidRPr="002B2760">
        <w:rPr>
          <w:rFonts w:ascii="Calibri" w:hAnsi="Calibri" w:cs="Century Gothic,Bold"/>
          <w:b/>
          <w:bCs/>
          <w:sz w:val="26"/>
          <w:szCs w:val="26"/>
        </w:rPr>
        <w:lastRenderedPageBreak/>
        <w:t>Introduction to abuse and harmful behaviour</w:t>
      </w:r>
    </w:p>
    <w:p w:rsidR="00A17E2C" w:rsidRPr="00A17E2C" w:rsidRDefault="00A17E2C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Abusive behaviour can happen to pupils in schools and settings and it is necessary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to consider what abuse is and looks like, how it can be managed and what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appropriate support and intervention can be put in place to meet the needs of the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individual and what preventative strategies may be put in place to reduce further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risk of harm.</w:t>
      </w:r>
    </w:p>
    <w:p w:rsidR="00A17E2C" w:rsidRPr="00A17E2C" w:rsidRDefault="00A17E2C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Abuse is abuse and should never be tolerated or passed off as ‘banter’ or ‘part of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growing up’. Equally, abuse issues can sometimes be gender specific e.g. girls being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sexually touched/assaulted and boys being subject to initiation/hazing type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violence (KCSIE, 2018). It is important to consider the forms abuse may take and the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subsequent actions required.</w:t>
      </w:r>
    </w:p>
    <w:p w:rsidR="00A17E2C" w:rsidRPr="00A17E2C" w:rsidRDefault="00A17E2C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26"/>
          <w:szCs w:val="26"/>
        </w:rPr>
      </w:pPr>
      <w:r w:rsidRPr="002B2760">
        <w:rPr>
          <w:rFonts w:ascii="Calibri" w:hAnsi="Calibri" w:cs="Century Gothic,Bold"/>
          <w:b/>
          <w:bCs/>
          <w:sz w:val="26"/>
          <w:szCs w:val="26"/>
        </w:rPr>
        <w:t>Types of abuse</w:t>
      </w:r>
    </w:p>
    <w:p w:rsidR="00A17E2C" w:rsidRPr="00A17E2C" w:rsidRDefault="00A17E2C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16"/>
          <w:szCs w:val="16"/>
        </w:rPr>
      </w:pPr>
    </w:p>
    <w:p w:rsidR="007513DA" w:rsidRDefault="007513DA" w:rsidP="00A17E2C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There are many forms of abuse that may occur between peers and this list is not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exhaustive. Each form of abuse or prejudiced behaviour is described in detail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followed by advice and support on actions to be taken.</w:t>
      </w:r>
    </w:p>
    <w:p w:rsidR="00A17E2C" w:rsidRPr="00A17E2C" w:rsidRDefault="00A17E2C" w:rsidP="00A17E2C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26"/>
          <w:szCs w:val="26"/>
        </w:rPr>
      </w:pPr>
      <w:r w:rsidRPr="002B2760">
        <w:rPr>
          <w:rFonts w:ascii="Calibri" w:hAnsi="Calibri" w:cs="Century Gothic,Bold"/>
          <w:b/>
          <w:bCs/>
          <w:sz w:val="26"/>
          <w:szCs w:val="26"/>
        </w:rPr>
        <w:t>Physical abuse e.g. (biting, hitting, kicking, hair pulling etc.)</w:t>
      </w:r>
      <w:r w:rsidR="00A17E2C">
        <w:rPr>
          <w:rFonts w:ascii="Calibri" w:hAnsi="Calibri" w:cs="Century Gothic,Bold"/>
          <w:b/>
          <w:bCs/>
          <w:sz w:val="26"/>
          <w:szCs w:val="26"/>
        </w:rPr>
        <w:t xml:space="preserve"> </w:t>
      </w:r>
    </w:p>
    <w:p w:rsidR="00A17E2C" w:rsidRPr="00A17E2C" w:rsidRDefault="00A17E2C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Physical abuse may include, hitting, kicking, nipping, shaking, biting, hair pulling, or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otherwise causing physical harm to another person. There may be many reasons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why a child harms another and it is important to understand why a child has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engaged in such behaviour, including accidently before considering the action or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punishment to be undertaken.</w:t>
      </w:r>
    </w:p>
    <w:p w:rsidR="00A17E2C" w:rsidRPr="00A17E2C" w:rsidRDefault="00A17E2C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Pr="002B2760" w:rsidRDefault="007513DA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26"/>
          <w:szCs w:val="26"/>
        </w:rPr>
      </w:pPr>
      <w:r w:rsidRPr="002B2760">
        <w:rPr>
          <w:rFonts w:ascii="Calibri" w:hAnsi="Calibri" w:cs="Century Gothic,Bold"/>
          <w:b/>
          <w:bCs/>
          <w:sz w:val="26"/>
          <w:szCs w:val="26"/>
        </w:rPr>
        <w:t>Sexually harmful behaviour/sexual abuse e.g. (inappropriate sexual language,</w:t>
      </w: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26"/>
          <w:szCs w:val="26"/>
        </w:rPr>
      </w:pPr>
      <w:r w:rsidRPr="002B2760">
        <w:rPr>
          <w:rFonts w:ascii="Calibri" w:hAnsi="Calibri" w:cs="Century Gothic,Bold"/>
          <w:b/>
          <w:bCs/>
          <w:sz w:val="26"/>
          <w:szCs w:val="26"/>
        </w:rPr>
        <w:t>touching, sexual assault etc.)</w:t>
      </w:r>
    </w:p>
    <w:p w:rsidR="00A17E2C" w:rsidRPr="00A17E2C" w:rsidRDefault="00A17E2C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Sexually harmful behaviour from children is not always contrived or with the intent to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harm others. There may be many reasons why a child engages in sexually harmful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behaviour and it may be just as distressing to the child who instigates it as well as the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child it is intended towards. Sexually harmful behaviour may range from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inappropriate sexual language, inappropriate role play, to sexually touching another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or sexual assault/abuse.</w:t>
      </w:r>
    </w:p>
    <w:p w:rsidR="00A17E2C" w:rsidRPr="00A17E2C" w:rsidRDefault="00A17E2C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26"/>
          <w:szCs w:val="26"/>
        </w:rPr>
      </w:pPr>
      <w:r w:rsidRPr="002B2760">
        <w:rPr>
          <w:rFonts w:ascii="Calibri" w:hAnsi="Calibri" w:cs="Century Gothic,Bold"/>
          <w:b/>
          <w:bCs/>
          <w:sz w:val="26"/>
          <w:szCs w:val="26"/>
        </w:rPr>
        <w:t>Bullying (physical, name calling, homophobic etc.)</w:t>
      </w:r>
    </w:p>
    <w:p w:rsidR="00A17E2C" w:rsidRPr="00A17E2C" w:rsidRDefault="00A17E2C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16"/>
          <w:szCs w:val="16"/>
        </w:rPr>
      </w:pPr>
    </w:p>
    <w:p w:rsidR="007513DA" w:rsidRDefault="007513DA" w:rsidP="00A17E2C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Bullying is unwanted, aggressive behaviour among school aged children that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involves a real or perceived power imbalance. The behaviour is repeated, or has the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potential to be repeated, over time. Both children who are bullied and who bully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others may have serious, lasting problems.</w:t>
      </w:r>
    </w:p>
    <w:p w:rsidR="00A17E2C" w:rsidRPr="00A17E2C" w:rsidRDefault="00A17E2C" w:rsidP="00A17E2C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In order to be considered bullying, the behaviour must be aggressive and include: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</w:p>
    <w:p w:rsidR="00A17E2C" w:rsidRPr="00A17E2C" w:rsidRDefault="00A17E2C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Pr="00A17E2C" w:rsidRDefault="007513DA" w:rsidP="00A17E2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A17E2C">
        <w:rPr>
          <w:rFonts w:ascii="Calibri" w:hAnsi="Calibri" w:cs="Century Gothic"/>
          <w:sz w:val="26"/>
          <w:szCs w:val="26"/>
        </w:rPr>
        <w:t>An Imbalance of Power: Children who bully use their power—such as physical</w:t>
      </w:r>
      <w:r w:rsidR="00A17E2C" w:rsidRPr="00A17E2C">
        <w:rPr>
          <w:rFonts w:ascii="Calibri" w:hAnsi="Calibri" w:cs="Century Gothic"/>
          <w:sz w:val="26"/>
          <w:szCs w:val="26"/>
        </w:rPr>
        <w:t xml:space="preserve"> </w:t>
      </w:r>
      <w:r w:rsidRPr="00A17E2C">
        <w:rPr>
          <w:rFonts w:ascii="Calibri" w:hAnsi="Calibri" w:cs="Century Gothic"/>
          <w:sz w:val="26"/>
          <w:szCs w:val="26"/>
        </w:rPr>
        <w:t>strength, access to embarrassing information, or popularity—to control or</w:t>
      </w:r>
      <w:r w:rsidR="00A17E2C" w:rsidRPr="00A17E2C">
        <w:rPr>
          <w:rFonts w:ascii="Calibri" w:hAnsi="Calibri" w:cs="Century Gothic"/>
          <w:sz w:val="26"/>
          <w:szCs w:val="26"/>
        </w:rPr>
        <w:t xml:space="preserve"> </w:t>
      </w:r>
      <w:r w:rsidRPr="00A17E2C">
        <w:rPr>
          <w:rFonts w:ascii="Calibri" w:hAnsi="Calibri" w:cs="Century Gothic"/>
          <w:sz w:val="26"/>
          <w:szCs w:val="26"/>
        </w:rPr>
        <w:t>harm others. Power imbalances can change over time and in different</w:t>
      </w:r>
      <w:r w:rsidR="00A17E2C" w:rsidRPr="00A17E2C">
        <w:rPr>
          <w:rFonts w:ascii="Calibri" w:hAnsi="Calibri" w:cs="Century Gothic"/>
          <w:sz w:val="26"/>
          <w:szCs w:val="26"/>
        </w:rPr>
        <w:t xml:space="preserve"> </w:t>
      </w:r>
      <w:r w:rsidRPr="00A17E2C">
        <w:rPr>
          <w:rFonts w:ascii="Calibri" w:hAnsi="Calibri" w:cs="Century Gothic"/>
          <w:sz w:val="26"/>
          <w:szCs w:val="26"/>
        </w:rPr>
        <w:t>situations, even if they involve the same people.</w:t>
      </w:r>
    </w:p>
    <w:p w:rsidR="007513DA" w:rsidRDefault="007513DA" w:rsidP="00A17E2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A17E2C">
        <w:rPr>
          <w:rFonts w:ascii="Calibri" w:hAnsi="Calibri" w:cs="Century Gothic"/>
          <w:sz w:val="26"/>
          <w:szCs w:val="26"/>
        </w:rPr>
        <w:t>Repetition: Bullying behaviours happen more than once or have the potential</w:t>
      </w:r>
      <w:r w:rsidR="00A17E2C" w:rsidRPr="00A17E2C">
        <w:rPr>
          <w:rFonts w:ascii="Calibri" w:hAnsi="Calibri" w:cs="Century Gothic"/>
          <w:sz w:val="26"/>
          <w:szCs w:val="26"/>
        </w:rPr>
        <w:t xml:space="preserve"> to happen more than once.</w:t>
      </w:r>
    </w:p>
    <w:p w:rsidR="00A17E2C" w:rsidRPr="00A17E2C" w:rsidRDefault="00A17E2C" w:rsidP="00A17E2C">
      <w:pPr>
        <w:pStyle w:val="ListParagraph"/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</w:p>
    <w:p w:rsidR="007513DA" w:rsidRDefault="007513DA" w:rsidP="00A17E2C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lastRenderedPageBreak/>
        <w:t>Bullying includes actions such as making threats, spreading rumours, attacking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someone physically or verbally or for a particular reason e.g. size, hair colour,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gender, sexual orientation, and excluding someone from a group on purpose.</w:t>
      </w:r>
    </w:p>
    <w:p w:rsidR="00A17E2C" w:rsidRPr="00A17E2C" w:rsidRDefault="00A17E2C" w:rsidP="00A17E2C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26"/>
          <w:szCs w:val="26"/>
        </w:rPr>
      </w:pPr>
      <w:r w:rsidRPr="002B2760">
        <w:rPr>
          <w:rFonts w:ascii="Calibri" w:hAnsi="Calibri" w:cs="Century Gothic,Bold"/>
          <w:b/>
          <w:bCs/>
          <w:sz w:val="26"/>
          <w:szCs w:val="26"/>
        </w:rPr>
        <w:t>Cyber bullying</w:t>
      </w:r>
    </w:p>
    <w:p w:rsidR="00A17E2C" w:rsidRPr="00A17E2C" w:rsidRDefault="00A17E2C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Cyberbullying is the use of phones, instant messaging, e-mail, chat rooms or social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networking sites such as Facebook and Twitter to harass threaten or intimidate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someone for the same reasons as stated above.</w:t>
      </w:r>
    </w:p>
    <w:p w:rsidR="00A17E2C" w:rsidRPr="00A17E2C" w:rsidRDefault="00A17E2C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It is important to state that cyber bullying can very easily fall into criminal behaviour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under the Malicious Communications Act 1988 under section 1 which states that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electronic communications which are indecent or grossly offensive, convey a threat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or false information or demonstrate that there is an intention to cause distress or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anxiety to the victim would be deemed to be criminal. This is also supported by the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Communications Act 2003, Section 127 which states that electronic communications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which are grossly offensive or indecent, obscene or menacing, or false, used again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for the purpose of causing annoyance, inconvenience or needless anxiety to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another could also be deemed to be criminal behaviour.</w:t>
      </w:r>
    </w:p>
    <w:p w:rsidR="00A17E2C" w:rsidRPr="00A17E2C" w:rsidRDefault="00A17E2C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A17E2C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If the behaviour involves the use of taking or distributing indecent images of children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under the age of 18, then this is also a criminal offence under the Sexual Offences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Act 2003. Outside of the immediate support children may require in these instances,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the school will have no choice but to involve the police to investigate these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situations.</w:t>
      </w:r>
    </w:p>
    <w:p w:rsidR="00A17E2C" w:rsidRPr="00A17E2C" w:rsidRDefault="00A17E2C" w:rsidP="00A17E2C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26"/>
          <w:szCs w:val="26"/>
        </w:rPr>
      </w:pPr>
      <w:r w:rsidRPr="002B2760">
        <w:rPr>
          <w:rFonts w:ascii="Calibri" w:hAnsi="Calibri" w:cs="Century Gothic,Bold"/>
          <w:b/>
          <w:bCs/>
          <w:sz w:val="26"/>
          <w:szCs w:val="26"/>
        </w:rPr>
        <w:t>Sexting</w:t>
      </w:r>
    </w:p>
    <w:p w:rsidR="00A17E2C" w:rsidRPr="00A17E2C" w:rsidRDefault="00A17E2C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Sexting is when someone sends or receives a sexually explicit text, image or video.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This includes sending ‘nude pictures’, ‘rude pictures’ or ‘nude selfies’. Pressuring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someone into sending a nude picture can happen in any relationship and to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anyone, whatever their age, gender or sexual preference.</w:t>
      </w:r>
    </w:p>
    <w:p w:rsidR="00A17E2C" w:rsidRPr="00A17E2C" w:rsidRDefault="00A17E2C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However, once the image is taken and sent, the sender has lost control of the image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and these images could end up anywhere. By having in their possession, or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distributing, indecent images of a person under 18 on to someone else, children are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not even aware that they could be breaking the law as stated as these are offences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under the Sexual Offences Act 2003.</w:t>
      </w:r>
    </w:p>
    <w:p w:rsidR="00A17E2C" w:rsidRPr="00A17E2C" w:rsidRDefault="00A17E2C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26"/>
          <w:szCs w:val="26"/>
        </w:rPr>
      </w:pPr>
      <w:r w:rsidRPr="002B2760">
        <w:rPr>
          <w:rFonts w:ascii="Calibri" w:hAnsi="Calibri" w:cs="Century Gothic,Bold"/>
          <w:b/>
          <w:bCs/>
          <w:sz w:val="26"/>
          <w:szCs w:val="26"/>
        </w:rPr>
        <w:t>Initiation/Hazing</w:t>
      </w:r>
    </w:p>
    <w:p w:rsidR="00A17E2C" w:rsidRPr="00A17E2C" w:rsidRDefault="00A17E2C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Hazing is a form of initiation ceremony which is used to induct newcomers into an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organisation such as a private school, sports team etc. There are a number of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different forms, from relatively mild rituals to severe and sometimes violent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ceremonies.</w:t>
      </w:r>
    </w:p>
    <w:p w:rsidR="00A17E2C" w:rsidRPr="00A17E2C" w:rsidRDefault="00A17E2C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A17E2C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The idea behind this practice is that it welcomes newcomers by subjecting them to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a series of trials which promote a bond between them. After the hazing is over, the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newcomers also have something in common with older members of the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organisation, because they all experienced it as part of a rite of passage. Many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rituals involve humiliation, embarrassment, abuse, and harassment.</w:t>
      </w:r>
    </w:p>
    <w:p w:rsidR="00A17E2C" w:rsidRDefault="00A17E2C" w:rsidP="00A17E2C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</w:p>
    <w:p w:rsidR="00A17E2C" w:rsidRPr="002B2760" w:rsidRDefault="00A17E2C" w:rsidP="00A17E2C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26"/>
          <w:szCs w:val="26"/>
        </w:rPr>
      </w:pPr>
      <w:r w:rsidRPr="002B2760">
        <w:rPr>
          <w:rFonts w:ascii="Calibri" w:hAnsi="Calibri" w:cs="Century Gothic,Bold"/>
          <w:b/>
          <w:bCs/>
          <w:sz w:val="26"/>
          <w:szCs w:val="26"/>
        </w:rPr>
        <w:lastRenderedPageBreak/>
        <w:t>Prejudiced Behaviour</w:t>
      </w:r>
    </w:p>
    <w:p w:rsidR="00A17E2C" w:rsidRPr="00A17E2C" w:rsidRDefault="00A17E2C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The term prejudice-related bullying refers to a range of hurtful behaviour, physical or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emotional or both, which causes someone to feel powerless, worthless, excluded or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marginalised, and which is connected with prejudices around belonging, identity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and equality in wider society – in particular, prejudices to do with disabilities and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special educational needs, ethnic, cultural and religious backgrounds, gender,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home life, (for example in relation to issues of care, parental occupation, poverty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and social class) and sexual identity (homosexual, bisexual, transsexual).</w:t>
      </w:r>
    </w:p>
    <w:p w:rsidR="00A17E2C" w:rsidRPr="00A17E2C" w:rsidRDefault="00A17E2C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Pr="002B2760" w:rsidRDefault="007513DA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26"/>
          <w:szCs w:val="26"/>
        </w:rPr>
      </w:pPr>
      <w:r w:rsidRPr="002B2760">
        <w:rPr>
          <w:rFonts w:ascii="Calibri" w:hAnsi="Calibri" w:cs="Century Gothic,Bold"/>
          <w:b/>
          <w:bCs/>
          <w:sz w:val="26"/>
          <w:szCs w:val="26"/>
        </w:rPr>
        <w:t>Expected action taken by all staff</w:t>
      </w: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Although the type of abuse may have a varying effect on the victim and initiator of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the harm, these simple steps can help clarify the situation and establish the facts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before deciding the consequences for those involved in perpetrating harm.</w:t>
      </w:r>
    </w:p>
    <w:p w:rsidR="00A17E2C" w:rsidRPr="00A17E2C" w:rsidRDefault="00A17E2C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A17E2C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It is important to deal with a situation of peer abuse immediately and sensitively. It is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necessary to gather the information as soon as possible to get the true facts around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what has occurred as soon after the child(</w:t>
      </w:r>
      <w:proofErr w:type="spellStart"/>
      <w:r w:rsidRPr="002B2760">
        <w:rPr>
          <w:rFonts w:ascii="Calibri" w:hAnsi="Calibri" w:cs="Century Gothic"/>
          <w:sz w:val="26"/>
          <w:szCs w:val="26"/>
        </w:rPr>
        <w:t>ren</w:t>
      </w:r>
      <w:proofErr w:type="spellEnd"/>
      <w:r w:rsidRPr="002B2760">
        <w:rPr>
          <w:rFonts w:ascii="Calibri" w:hAnsi="Calibri" w:cs="Century Gothic"/>
          <w:sz w:val="26"/>
          <w:szCs w:val="26"/>
        </w:rPr>
        <w:t>) may have forgotten. It is equally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important to deal with it sensitively and think about the language used and the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impact of that language on both the children and the parents when they become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involved. For example; do not use the word perpetrator, this can quickly create a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‘blame’ culture and leave a child labelled.</w:t>
      </w:r>
    </w:p>
    <w:p w:rsidR="00A17E2C" w:rsidRPr="00A17E2C" w:rsidRDefault="00A17E2C" w:rsidP="00A17E2C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In all cases of peer on peer abuse it is necessary that all staff are trained in dealing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with such incidents, talking to children and instigating immediate support in a calm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and consistent manner. Staff should not be prejudiced, judgemental, dismissive or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irresponsible in dealing with such sensitive matters.</w:t>
      </w:r>
    </w:p>
    <w:p w:rsidR="00A17E2C" w:rsidRPr="00A17E2C" w:rsidRDefault="00A17E2C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26"/>
          <w:szCs w:val="26"/>
        </w:rPr>
      </w:pPr>
      <w:r w:rsidRPr="002B2760">
        <w:rPr>
          <w:rFonts w:ascii="Calibri" w:hAnsi="Calibri" w:cs="Century Gothic,Bold"/>
          <w:b/>
          <w:bCs/>
          <w:sz w:val="26"/>
          <w:szCs w:val="26"/>
        </w:rPr>
        <w:t>Gather the Facts</w:t>
      </w:r>
    </w:p>
    <w:p w:rsidR="00A17E2C" w:rsidRPr="00A17E2C" w:rsidRDefault="00A17E2C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Speak to all the children involved separately, gain a statement of facts from them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and use consistent language and open questions for each account. The easiest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way to do this is not to have a line of questioning but to ask the children to tell us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what happened. Only interrupt the child from this to gain clarity with open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questions, ‘where, when, why, who’. (What happened? Who observed the incident?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What was seen? What was heard? Did anyone intervene?)</w:t>
      </w:r>
    </w:p>
    <w:p w:rsidR="00A17E2C" w:rsidRPr="00A17E2C" w:rsidRDefault="00A17E2C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26"/>
          <w:szCs w:val="26"/>
        </w:rPr>
      </w:pPr>
      <w:r w:rsidRPr="002B2760">
        <w:rPr>
          <w:rFonts w:ascii="Calibri" w:hAnsi="Calibri" w:cs="Century Gothic,Bold"/>
          <w:b/>
          <w:bCs/>
          <w:sz w:val="26"/>
          <w:szCs w:val="26"/>
        </w:rPr>
        <w:t>Consider the Intent (begin to Risk Assess)</w:t>
      </w:r>
    </w:p>
    <w:p w:rsidR="00A17E2C" w:rsidRPr="00A17E2C" w:rsidRDefault="00A17E2C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16"/>
          <w:szCs w:val="16"/>
        </w:rPr>
      </w:pPr>
    </w:p>
    <w:p w:rsidR="007513DA" w:rsidRDefault="007513DA" w:rsidP="00A17E2C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Has this been a deliberate or contrived situation for a child to be able to harm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another?</w:t>
      </w:r>
    </w:p>
    <w:p w:rsidR="00A17E2C" w:rsidRPr="00A17E2C" w:rsidRDefault="00A17E2C" w:rsidP="00A17E2C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26"/>
          <w:szCs w:val="26"/>
        </w:rPr>
      </w:pPr>
      <w:r w:rsidRPr="002B2760">
        <w:rPr>
          <w:rFonts w:ascii="Calibri" w:hAnsi="Calibri" w:cs="Century Gothic,Bold"/>
          <w:b/>
          <w:bCs/>
          <w:sz w:val="26"/>
          <w:szCs w:val="26"/>
        </w:rPr>
        <w:t>Decide on the next course of action</w:t>
      </w:r>
    </w:p>
    <w:p w:rsidR="00A17E2C" w:rsidRPr="00A17E2C" w:rsidRDefault="00A17E2C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 xml:space="preserve">If from the information that we </w:t>
      </w:r>
      <w:r w:rsidR="00F725A5" w:rsidRPr="002B2760">
        <w:rPr>
          <w:rFonts w:ascii="Calibri" w:hAnsi="Calibri" w:cs="Century Gothic"/>
          <w:sz w:val="26"/>
          <w:szCs w:val="26"/>
        </w:rPr>
        <w:t>gather,</w:t>
      </w:r>
      <w:r w:rsidRPr="002B2760">
        <w:rPr>
          <w:rFonts w:ascii="Calibri" w:hAnsi="Calibri" w:cs="Century Gothic"/>
          <w:sz w:val="26"/>
          <w:szCs w:val="26"/>
        </w:rPr>
        <w:t xml:space="preserve"> we believe any child to be at risk of significant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harm we must make a safeguarding referral to Children’s Social Care immediately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(where a crime has been committed the Police should be involved also). If this is the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case, once Children’s Social Care has been contacted and made a decision on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what will happen next then we will be informed on the next steps.</w:t>
      </w:r>
    </w:p>
    <w:p w:rsidR="00A17E2C" w:rsidRPr="00A17E2C" w:rsidRDefault="00A17E2C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A17E2C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If Children’s Social Care and the Police intend to pursue this further they may ask to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interview the children in school or they may ask for parents to come to school to be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spoken to also. It is important to be prepared for every situation and the potential</w:t>
      </w:r>
      <w:r w:rsidR="00A17E2C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time it may take.</w:t>
      </w:r>
    </w:p>
    <w:p w:rsidR="00A17E2C" w:rsidRPr="002B2760" w:rsidRDefault="00A17E2C" w:rsidP="00A17E2C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color w:val="000000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lastRenderedPageBreak/>
        <w:t>It may also be that Children’s Social Care feel that it does not meet their criteria in</w:t>
      </w:r>
      <w:r w:rsidR="00A17E2C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2B2760">
        <w:rPr>
          <w:rFonts w:ascii="Calibri" w:hAnsi="Calibri" w:cs="Century Gothic"/>
          <w:color w:val="000000"/>
          <w:sz w:val="26"/>
          <w:szCs w:val="26"/>
        </w:rPr>
        <w:t>which case we may challenge that decision, with that individual or their line</w:t>
      </w:r>
      <w:r w:rsidR="00A17E2C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2B2760">
        <w:rPr>
          <w:rFonts w:ascii="Calibri" w:hAnsi="Calibri" w:cs="Century Gothic"/>
          <w:color w:val="000000"/>
          <w:sz w:val="26"/>
          <w:szCs w:val="26"/>
        </w:rPr>
        <w:t>manager. If on discussion however, we agree with the decision, we may then be</w:t>
      </w:r>
      <w:r w:rsidR="00A17E2C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2B2760">
        <w:rPr>
          <w:rFonts w:ascii="Calibri" w:hAnsi="Calibri" w:cs="Century Gothic"/>
          <w:color w:val="000000"/>
          <w:sz w:val="26"/>
          <w:szCs w:val="26"/>
        </w:rPr>
        <w:t>left to inform parents.</w:t>
      </w:r>
    </w:p>
    <w:p w:rsidR="00A17E2C" w:rsidRPr="00A17E2C" w:rsidRDefault="00A17E2C" w:rsidP="007513DA">
      <w:pPr>
        <w:autoSpaceDE w:val="0"/>
        <w:autoSpaceDN w:val="0"/>
        <w:adjustRightInd w:val="0"/>
        <w:rPr>
          <w:rFonts w:ascii="Calibri" w:hAnsi="Calibri" w:cs="Century Gothic"/>
          <w:color w:val="000000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color w:val="000000"/>
          <w:sz w:val="26"/>
          <w:szCs w:val="26"/>
        </w:rPr>
      </w:pPr>
      <w:r w:rsidRPr="002B2760">
        <w:rPr>
          <w:rFonts w:ascii="Calibri" w:hAnsi="Calibri" w:cs="Century Gothic,Bold"/>
          <w:b/>
          <w:bCs/>
          <w:color w:val="000000"/>
          <w:sz w:val="26"/>
          <w:szCs w:val="26"/>
        </w:rPr>
        <w:t>Informing parents/carers</w:t>
      </w:r>
    </w:p>
    <w:p w:rsidR="00A17E2C" w:rsidRPr="00A17E2C" w:rsidRDefault="00A17E2C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color w:val="000000"/>
          <w:sz w:val="16"/>
          <w:szCs w:val="16"/>
        </w:rPr>
      </w:pPr>
    </w:p>
    <w:p w:rsidR="007513DA" w:rsidRDefault="007513DA" w:rsidP="00254BB6">
      <w:pPr>
        <w:autoSpaceDE w:val="0"/>
        <w:autoSpaceDN w:val="0"/>
        <w:adjustRightInd w:val="0"/>
        <w:rPr>
          <w:rFonts w:ascii="Calibri" w:hAnsi="Calibri" w:cs="Century Gothic"/>
          <w:color w:val="0000FF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t>If, once appropriate advice has been sought from Police/ Children’s Social Care we</w:t>
      </w:r>
      <w:r w:rsidR="00A17E2C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2B2760">
        <w:rPr>
          <w:rFonts w:ascii="Calibri" w:hAnsi="Calibri" w:cs="Century Gothic"/>
          <w:color w:val="000000"/>
          <w:sz w:val="26"/>
          <w:szCs w:val="26"/>
        </w:rPr>
        <w:t>have agreement to inform parents or have been allocated that role from the other</w:t>
      </w:r>
      <w:r w:rsidR="00A17E2C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2B2760">
        <w:rPr>
          <w:rFonts w:ascii="Calibri" w:hAnsi="Calibri" w:cs="Century Gothic"/>
          <w:color w:val="000000"/>
          <w:sz w:val="26"/>
          <w:szCs w:val="26"/>
        </w:rPr>
        <w:t>services involved then we need to inform the parents/guardians as soon as possible.</w:t>
      </w:r>
      <w:r w:rsidR="00A17E2C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2B2760">
        <w:rPr>
          <w:rFonts w:ascii="Calibri" w:hAnsi="Calibri" w:cs="Century Gothic"/>
          <w:color w:val="000000"/>
          <w:sz w:val="26"/>
          <w:szCs w:val="26"/>
        </w:rPr>
        <w:t>If services are not going to be involved then equally, this information may need to</w:t>
      </w:r>
      <w:r w:rsidR="00A17E2C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2B2760">
        <w:rPr>
          <w:rFonts w:ascii="Calibri" w:hAnsi="Calibri" w:cs="Century Gothic"/>
          <w:color w:val="000000"/>
          <w:sz w:val="26"/>
          <w:szCs w:val="26"/>
        </w:rPr>
        <w:t>be shared with parents/carers. If a child is deemed to be ‘</w:t>
      </w:r>
      <w:proofErr w:type="spellStart"/>
      <w:r w:rsidRPr="002B2760">
        <w:rPr>
          <w:rFonts w:ascii="Calibri" w:hAnsi="Calibri" w:cs="Century Gothic"/>
          <w:color w:val="0070C1"/>
          <w:sz w:val="26"/>
          <w:szCs w:val="26"/>
        </w:rPr>
        <w:t>Gillick</w:t>
      </w:r>
      <w:proofErr w:type="spellEnd"/>
      <w:r w:rsidRPr="002B2760">
        <w:rPr>
          <w:rFonts w:ascii="Calibri" w:hAnsi="Calibri" w:cs="Century Gothic"/>
          <w:color w:val="0070C1"/>
          <w:sz w:val="26"/>
          <w:szCs w:val="26"/>
        </w:rPr>
        <w:t xml:space="preserve"> Competent’</w:t>
      </w:r>
      <w:r w:rsidR="00A17E2C">
        <w:rPr>
          <w:rFonts w:ascii="Calibri" w:hAnsi="Calibri" w:cs="Century Gothic"/>
          <w:color w:val="0070C1"/>
          <w:sz w:val="26"/>
          <w:szCs w:val="26"/>
        </w:rPr>
        <w:t xml:space="preserve"> </w:t>
      </w:r>
      <w:r w:rsidRPr="002B2760">
        <w:rPr>
          <w:rFonts w:ascii="Calibri" w:hAnsi="Calibri" w:cs="Century Gothic"/>
          <w:color w:val="000000"/>
          <w:sz w:val="26"/>
          <w:szCs w:val="26"/>
        </w:rPr>
        <w:t>following the ‘Fraser’ guidelines and does not wish for us to share the information</w:t>
      </w:r>
      <w:r w:rsidR="00A17E2C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2B2760">
        <w:rPr>
          <w:rFonts w:ascii="Calibri" w:hAnsi="Calibri" w:cs="Century Gothic"/>
          <w:color w:val="000000"/>
          <w:sz w:val="26"/>
          <w:szCs w:val="26"/>
        </w:rPr>
        <w:t>with parents/carers, then we will consider this especially for example if the child is</w:t>
      </w:r>
      <w:r w:rsidR="00A17E2C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2B2760">
        <w:rPr>
          <w:rFonts w:ascii="Calibri" w:hAnsi="Calibri" w:cs="Century Gothic"/>
          <w:color w:val="000000"/>
          <w:sz w:val="26"/>
          <w:szCs w:val="26"/>
        </w:rPr>
        <w:t>pregnant and this is why they are being bullied (unless this has occurred through</w:t>
      </w:r>
      <w:r w:rsidR="00254BB6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2B2760">
        <w:rPr>
          <w:rFonts w:ascii="Calibri" w:hAnsi="Calibri" w:cs="Century Gothic"/>
          <w:color w:val="000000"/>
          <w:sz w:val="26"/>
          <w:szCs w:val="26"/>
        </w:rPr>
        <w:t>significant harm in which case a criminal/Children’s Social Care case is likely or the</w:t>
      </w:r>
      <w:r w:rsidR="00254BB6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2B2760">
        <w:rPr>
          <w:rFonts w:ascii="Calibri" w:hAnsi="Calibri" w:cs="Century Gothic"/>
          <w:color w:val="000000"/>
          <w:sz w:val="26"/>
          <w:szCs w:val="26"/>
        </w:rPr>
        <w:t>child is under the age of 13). (see Appendix A</w:t>
      </w:r>
      <w:r w:rsidRPr="002B2760">
        <w:rPr>
          <w:rFonts w:ascii="Calibri" w:hAnsi="Calibri" w:cs="Century Gothic"/>
          <w:color w:val="0000FF"/>
          <w:sz w:val="26"/>
          <w:szCs w:val="26"/>
        </w:rPr>
        <w:t>)</w:t>
      </w:r>
    </w:p>
    <w:p w:rsidR="00254BB6" w:rsidRPr="00254BB6" w:rsidRDefault="00254BB6" w:rsidP="00254BB6">
      <w:pPr>
        <w:autoSpaceDE w:val="0"/>
        <w:autoSpaceDN w:val="0"/>
        <w:adjustRightInd w:val="0"/>
        <w:rPr>
          <w:rFonts w:ascii="Calibri" w:hAnsi="Calibri" w:cs="Century Gothic"/>
          <w:color w:val="0000FF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In all circumstances where the risk of harm to the child is evident then the school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should encourage the child to share the information with their parent/carer or even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with them (they may be scared to tell parents that they are being harmed in any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way). Where school can evidence they are acting in the best interests of the child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they would not be criticised, however this would be the case if they actively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breached the rights and choices of the child.</w:t>
      </w:r>
    </w:p>
    <w:p w:rsidR="00254BB6" w:rsidRPr="00254BB6" w:rsidRDefault="00254BB6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The best way to inform parents is face to face. Although this may be time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consuming, the nature of the incident and the type of harm/abuse a child may be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suffering can cause fear and anxiety to parents whether their child is the child who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was harmed or who harmed another.</w:t>
      </w:r>
    </w:p>
    <w:p w:rsidR="00254BB6" w:rsidRPr="00254BB6" w:rsidRDefault="00254BB6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26"/>
          <w:szCs w:val="26"/>
        </w:rPr>
      </w:pPr>
      <w:r w:rsidRPr="002B2760">
        <w:rPr>
          <w:rFonts w:ascii="Calibri" w:hAnsi="Calibri" w:cs="Century Gothic,Bold"/>
          <w:b/>
          <w:bCs/>
          <w:sz w:val="26"/>
          <w:szCs w:val="26"/>
        </w:rPr>
        <w:t>Points to consider:</w:t>
      </w:r>
    </w:p>
    <w:p w:rsidR="00254BB6" w:rsidRPr="00254BB6" w:rsidRDefault="00254BB6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What is the age of the children involved?</w:t>
      </w:r>
    </w:p>
    <w:p w:rsidR="00254BB6" w:rsidRPr="00254BB6" w:rsidRDefault="00254BB6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254BB6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How old are the children involved in the incident and is there any age difference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between those involved? (In relation to sexual exploration, children under the age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of 5, in particular 1-4 year olds who are learning toileting skills may show a particular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interest in exploration at around this stage). This, however should not be overlooked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if other issues arise (see following)</w:t>
      </w:r>
    </w:p>
    <w:p w:rsidR="00254BB6" w:rsidRPr="00254BB6" w:rsidRDefault="00254BB6" w:rsidP="00254BB6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Pr="00254BB6" w:rsidRDefault="007513DA" w:rsidP="00254BB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54BB6">
        <w:rPr>
          <w:rFonts w:ascii="Calibri" w:hAnsi="Calibri" w:cs="Century Gothic"/>
          <w:sz w:val="26"/>
          <w:szCs w:val="26"/>
        </w:rPr>
        <w:t>Where did the incident or incidents take place?</w:t>
      </w:r>
    </w:p>
    <w:p w:rsidR="007513DA" w:rsidRPr="00254BB6" w:rsidRDefault="007513DA" w:rsidP="007513D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54BB6">
        <w:rPr>
          <w:rFonts w:ascii="Calibri" w:hAnsi="Calibri" w:cs="Century Gothic"/>
          <w:sz w:val="26"/>
          <w:szCs w:val="26"/>
        </w:rPr>
        <w:t>Was the incident in an open, visible place to others? If so was it observed? If</w:t>
      </w:r>
      <w:r w:rsidR="00254BB6" w:rsidRPr="00254BB6">
        <w:rPr>
          <w:rFonts w:ascii="Calibri" w:hAnsi="Calibri" w:cs="Century Gothic"/>
          <w:sz w:val="26"/>
          <w:szCs w:val="26"/>
        </w:rPr>
        <w:t xml:space="preserve"> </w:t>
      </w:r>
      <w:r w:rsidRPr="00254BB6">
        <w:rPr>
          <w:rFonts w:ascii="Calibri" w:hAnsi="Calibri" w:cs="Century Gothic"/>
          <w:sz w:val="26"/>
          <w:szCs w:val="26"/>
        </w:rPr>
        <w:t>not, is more supervision required within this particular area?</w:t>
      </w:r>
    </w:p>
    <w:p w:rsidR="007513DA" w:rsidRPr="00254BB6" w:rsidRDefault="007513DA" w:rsidP="00254BB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54BB6">
        <w:rPr>
          <w:rFonts w:ascii="Calibri" w:hAnsi="Calibri" w:cs="Century Gothic"/>
          <w:sz w:val="26"/>
          <w:szCs w:val="26"/>
        </w:rPr>
        <w:t>What was the explanation by all children involved of what occurred?</w:t>
      </w:r>
    </w:p>
    <w:p w:rsidR="007513DA" w:rsidRPr="00254BB6" w:rsidRDefault="007513DA" w:rsidP="007513DA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54BB6">
        <w:rPr>
          <w:rFonts w:ascii="Calibri" w:hAnsi="Calibri" w:cs="Century Gothic"/>
          <w:sz w:val="26"/>
          <w:szCs w:val="26"/>
        </w:rPr>
        <w:t>Can each of the children give the same explanation of the incident and also</w:t>
      </w:r>
      <w:r w:rsidR="00254BB6" w:rsidRPr="00254BB6">
        <w:rPr>
          <w:rFonts w:ascii="Calibri" w:hAnsi="Calibri" w:cs="Century Gothic"/>
          <w:sz w:val="26"/>
          <w:szCs w:val="26"/>
        </w:rPr>
        <w:t xml:space="preserve"> </w:t>
      </w:r>
      <w:r w:rsidRPr="00254BB6">
        <w:rPr>
          <w:rFonts w:ascii="Calibri" w:hAnsi="Calibri" w:cs="Century Gothic"/>
          <w:sz w:val="26"/>
          <w:szCs w:val="26"/>
        </w:rPr>
        <w:t>what is the effect on the children involved? Is the incident seen to be bullying</w:t>
      </w:r>
      <w:r w:rsidR="00254BB6" w:rsidRPr="00254BB6">
        <w:rPr>
          <w:rFonts w:ascii="Calibri" w:hAnsi="Calibri" w:cs="Century Gothic"/>
          <w:sz w:val="26"/>
          <w:szCs w:val="26"/>
        </w:rPr>
        <w:t xml:space="preserve"> </w:t>
      </w:r>
      <w:r w:rsidRPr="00254BB6">
        <w:rPr>
          <w:rFonts w:ascii="Calibri" w:hAnsi="Calibri" w:cs="Century Gothic"/>
          <w:sz w:val="26"/>
          <w:szCs w:val="26"/>
        </w:rPr>
        <w:t>for example, in which case regular and repetitive? Is the version of one child</w:t>
      </w:r>
      <w:r w:rsidR="00254BB6" w:rsidRPr="00254BB6">
        <w:rPr>
          <w:rFonts w:ascii="Calibri" w:hAnsi="Calibri" w:cs="Century Gothic"/>
          <w:sz w:val="26"/>
          <w:szCs w:val="26"/>
        </w:rPr>
        <w:t xml:space="preserve"> </w:t>
      </w:r>
      <w:r w:rsidRPr="00254BB6">
        <w:rPr>
          <w:rFonts w:ascii="Calibri" w:hAnsi="Calibri" w:cs="Century Gothic"/>
          <w:sz w:val="26"/>
          <w:szCs w:val="26"/>
        </w:rPr>
        <w:t>different from another and why?</w:t>
      </w:r>
    </w:p>
    <w:p w:rsidR="007513DA" w:rsidRPr="00254BB6" w:rsidRDefault="007513DA" w:rsidP="00254BB6">
      <w:pPr>
        <w:pStyle w:val="ListParagraph"/>
        <w:numPr>
          <w:ilvl w:val="0"/>
          <w:numId w:val="3"/>
        </w:numPr>
        <w:rPr>
          <w:rFonts w:ascii="Calibri" w:hAnsi="Calibri" w:cs="Century Gothic"/>
          <w:sz w:val="26"/>
          <w:szCs w:val="26"/>
        </w:rPr>
      </w:pPr>
      <w:r w:rsidRPr="00254BB6">
        <w:rPr>
          <w:rFonts w:ascii="Calibri" w:hAnsi="Calibri" w:cs="Century Gothic"/>
          <w:sz w:val="26"/>
          <w:szCs w:val="26"/>
        </w:rPr>
        <w:t>What is each of the children’s own understanding of what occurred?</w:t>
      </w:r>
    </w:p>
    <w:p w:rsidR="00254BB6" w:rsidRPr="00254BB6" w:rsidRDefault="007513DA" w:rsidP="00254BB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54BB6">
        <w:rPr>
          <w:rFonts w:ascii="Calibri" w:hAnsi="Calibri" w:cs="Century Gothic"/>
          <w:sz w:val="26"/>
          <w:szCs w:val="26"/>
        </w:rPr>
        <w:t>Do the children know/understand what they are doing? E.g. do they have</w:t>
      </w:r>
      <w:r w:rsidR="00254BB6" w:rsidRPr="00254BB6">
        <w:rPr>
          <w:rFonts w:ascii="Calibri" w:hAnsi="Calibri" w:cs="Century Gothic"/>
          <w:sz w:val="26"/>
          <w:szCs w:val="26"/>
        </w:rPr>
        <w:t xml:space="preserve"> </w:t>
      </w:r>
      <w:r w:rsidRPr="00254BB6">
        <w:rPr>
          <w:rFonts w:ascii="Calibri" w:hAnsi="Calibri" w:cs="Century Gothic"/>
          <w:sz w:val="26"/>
          <w:szCs w:val="26"/>
        </w:rPr>
        <w:t>knowledge of body parts, of privacy and that it is inappropriate to touch? Is</w:t>
      </w:r>
      <w:r w:rsidR="00254BB6" w:rsidRPr="00254BB6">
        <w:rPr>
          <w:rFonts w:ascii="Calibri" w:hAnsi="Calibri" w:cs="Century Gothic"/>
          <w:sz w:val="26"/>
          <w:szCs w:val="26"/>
        </w:rPr>
        <w:t xml:space="preserve"> </w:t>
      </w:r>
      <w:r w:rsidRPr="00254BB6">
        <w:rPr>
          <w:rFonts w:ascii="Calibri" w:hAnsi="Calibri" w:cs="Century Gothic"/>
          <w:sz w:val="26"/>
          <w:szCs w:val="26"/>
        </w:rPr>
        <w:t>the child’s explanation in relation to something they may have heard or been</w:t>
      </w:r>
      <w:r w:rsidR="00254BB6" w:rsidRPr="00254BB6">
        <w:rPr>
          <w:rFonts w:ascii="Calibri" w:hAnsi="Calibri" w:cs="Century Gothic"/>
          <w:sz w:val="26"/>
          <w:szCs w:val="26"/>
        </w:rPr>
        <w:t xml:space="preserve"> </w:t>
      </w:r>
      <w:r w:rsidRPr="00254BB6">
        <w:rPr>
          <w:rFonts w:ascii="Calibri" w:hAnsi="Calibri" w:cs="Century Gothic"/>
          <w:sz w:val="26"/>
          <w:szCs w:val="26"/>
        </w:rPr>
        <w:t>learning about that has prompted the behaviour? Is the behaviour</w:t>
      </w:r>
      <w:r w:rsidR="00254BB6" w:rsidRPr="00254BB6">
        <w:rPr>
          <w:rFonts w:ascii="Calibri" w:hAnsi="Calibri" w:cs="Century Gothic"/>
          <w:sz w:val="26"/>
          <w:szCs w:val="26"/>
        </w:rPr>
        <w:t xml:space="preserve"> </w:t>
      </w:r>
      <w:r w:rsidRPr="00254BB6">
        <w:rPr>
          <w:rFonts w:ascii="Calibri" w:hAnsi="Calibri" w:cs="Century Gothic"/>
          <w:sz w:val="26"/>
          <w:szCs w:val="26"/>
        </w:rPr>
        <w:t xml:space="preserve">deliberate and contrived? Does the child have </w:t>
      </w:r>
      <w:r w:rsidR="00254BB6" w:rsidRPr="00254BB6">
        <w:rPr>
          <w:rFonts w:ascii="Calibri" w:hAnsi="Calibri" w:cs="Century Gothic"/>
          <w:sz w:val="26"/>
          <w:szCs w:val="26"/>
        </w:rPr>
        <w:t>u</w:t>
      </w:r>
      <w:r w:rsidRPr="00254BB6">
        <w:rPr>
          <w:rFonts w:ascii="Calibri" w:hAnsi="Calibri" w:cs="Century Gothic"/>
          <w:sz w:val="26"/>
          <w:szCs w:val="26"/>
        </w:rPr>
        <w:t>nderstanding of the impact</w:t>
      </w:r>
      <w:r w:rsidR="00254BB6" w:rsidRPr="00254BB6">
        <w:rPr>
          <w:rFonts w:ascii="Calibri" w:hAnsi="Calibri" w:cs="Century Gothic"/>
          <w:sz w:val="26"/>
          <w:szCs w:val="26"/>
        </w:rPr>
        <w:t xml:space="preserve"> </w:t>
      </w:r>
      <w:r w:rsidRPr="00254BB6">
        <w:rPr>
          <w:rFonts w:ascii="Calibri" w:hAnsi="Calibri" w:cs="Century Gothic"/>
          <w:sz w:val="26"/>
          <w:szCs w:val="26"/>
        </w:rPr>
        <w:t>of their behaviour on the other person?</w:t>
      </w: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lastRenderedPageBreak/>
        <w:t>In dealing with an incident of this nature the answers are not always clear cut. If we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are concerned or unsure as to whether or not there is any risk involved, we will seek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advice from Children’s Social Care.</w:t>
      </w:r>
    </w:p>
    <w:p w:rsidR="00254BB6" w:rsidRPr="00254BB6" w:rsidRDefault="00254BB6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26"/>
          <w:szCs w:val="26"/>
        </w:rPr>
      </w:pPr>
      <w:r w:rsidRPr="002B2760">
        <w:rPr>
          <w:rFonts w:ascii="Calibri" w:hAnsi="Calibri" w:cs="Century Gothic,Bold"/>
          <w:b/>
          <w:bCs/>
          <w:sz w:val="26"/>
          <w:szCs w:val="26"/>
        </w:rPr>
        <w:t>Repetition</w:t>
      </w:r>
    </w:p>
    <w:p w:rsidR="00254BB6" w:rsidRPr="00254BB6" w:rsidRDefault="00254BB6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Has the behaviour been repeated to an individual on more than one occasion? In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the same way it must be considered has the behaviour persisted to an individual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after the issue has already been discussed or dealt with and appropriately resolved?</w:t>
      </w:r>
    </w:p>
    <w:p w:rsidR="00254BB6" w:rsidRPr="00254BB6" w:rsidRDefault="00254BB6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26"/>
          <w:szCs w:val="26"/>
        </w:rPr>
      </w:pPr>
      <w:r w:rsidRPr="002B2760">
        <w:rPr>
          <w:rFonts w:ascii="Calibri" w:hAnsi="Calibri" w:cs="Century Gothic,Bold"/>
          <w:b/>
          <w:bCs/>
          <w:sz w:val="26"/>
          <w:szCs w:val="26"/>
        </w:rPr>
        <w:t>Next Steps</w:t>
      </w:r>
    </w:p>
    <w:p w:rsidR="00254BB6" w:rsidRPr="00254BB6" w:rsidRDefault="00254BB6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16"/>
          <w:szCs w:val="16"/>
        </w:rPr>
      </w:pPr>
    </w:p>
    <w:p w:rsidR="007513DA" w:rsidRDefault="007513DA" w:rsidP="00254BB6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Once the outcome of the incident(s) has been established it is necessary to ensure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future incidents of abuse do not occur again and consider the support and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intervention required for those involved.</w:t>
      </w:r>
    </w:p>
    <w:p w:rsidR="00254BB6" w:rsidRPr="00254BB6" w:rsidRDefault="00254BB6" w:rsidP="00254BB6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26"/>
          <w:szCs w:val="26"/>
        </w:rPr>
      </w:pPr>
      <w:r w:rsidRPr="002B2760">
        <w:rPr>
          <w:rFonts w:ascii="Calibri" w:hAnsi="Calibri" w:cs="Century Gothic,Bold"/>
          <w:b/>
          <w:bCs/>
          <w:sz w:val="26"/>
          <w:szCs w:val="26"/>
        </w:rPr>
        <w:t>For the child who has been harmed</w:t>
      </w:r>
    </w:p>
    <w:p w:rsidR="00254BB6" w:rsidRPr="00254BB6" w:rsidRDefault="00254BB6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 xml:space="preserve">What support they require depends on the individual </w:t>
      </w:r>
      <w:proofErr w:type="gramStart"/>
      <w:r w:rsidRPr="002B2760">
        <w:rPr>
          <w:rFonts w:ascii="Calibri" w:hAnsi="Calibri" w:cs="Century Gothic"/>
          <w:sz w:val="26"/>
          <w:szCs w:val="26"/>
        </w:rPr>
        <w:t>child.</w:t>
      </w:r>
      <w:proofErr w:type="gramEnd"/>
      <w:r w:rsidRPr="002B2760">
        <w:rPr>
          <w:rFonts w:ascii="Calibri" w:hAnsi="Calibri" w:cs="Century Gothic"/>
          <w:sz w:val="26"/>
          <w:szCs w:val="26"/>
        </w:rPr>
        <w:t xml:space="preserve"> It may be that they wish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to seek counselling or one to one support via a mentor. It may also be that they feel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able to deal with the incident(s) on their own or with support of family and friends. In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which case it is necessary that this child continues to be monitored and offered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 xml:space="preserve">support should they require it in the </w:t>
      </w:r>
      <w:r w:rsidR="00254BB6">
        <w:rPr>
          <w:rFonts w:ascii="Calibri" w:hAnsi="Calibri" w:cs="Century Gothic"/>
          <w:sz w:val="26"/>
          <w:szCs w:val="26"/>
        </w:rPr>
        <w:t>f</w:t>
      </w:r>
      <w:r w:rsidRPr="002B2760">
        <w:rPr>
          <w:rFonts w:ascii="Calibri" w:hAnsi="Calibri" w:cs="Century Gothic"/>
          <w:sz w:val="26"/>
          <w:szCs w:val="26"/>
        </w:rPr>
        <w:t>uture.</w:t>
      </w:r>
    </w:p>
    <w:p w:rsidR="00254BB6" w:rsidRPr="00254BB6" w:rsidRDefault="00254BB6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If the incidents are of a bullying nature, the child may need support in improving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peer groups/relationships with other children or some restorative justice work with all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those involved may be required.</w:t>
      </w:r>
    </w:p>
    <w:p w:rsidR="00254BB6" w:rsidRPr="00254BB6" w:rsidRDefault="00254BB6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Other interventions that could be considered may target a whole class or year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group for example a speaker on cyber bullying, relationship abuse etc. It may be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that through the continued curriculum of PHSE and SMSC that certain issues can be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discussed and debated more frequently.</w:t>
      </w:r>
    </w:p>
    <w:p w:rsidR="00254BB6" w:rsidRPr="00254BB6" w:rsidRDefault="00254BB6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254BB6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If the child feels particularly vulnerable it may be that a risk assessment can be put in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place for them whilst in school so that they have someone named that they can talk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to, support strategies for managing future issues and identified services to offer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additional support.</w:t>
      </w:r>
    </w:p>
    <w:p w:rsidR="00254BB6" w:rsidRPr="00254BB6" w:rsidRDefault="00254BB6" w:rsidP="00254BB6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26"/>
          <w:szCs w:val="26"/>
        </w:rPr>
      </w:pPr>
      <w:r w:rsidRPr="002B2760">
        <w:rPr>
          <w:rFonts w:ascii="Calibri" w:hAnsi="Calibri" w:cs="Century Gothic,Bold"/>
          <w:b/>
          <w:bCs/>
          <w:sz w:val="26"/>
          <w:szCs w:val="26"/>
        </w:rPr>
        <w:t>For the child who has displayed harmful behaviour</w:t>
      </w:r>
    </w:p>
    <w:p w:rsidR="00254BB6" w:rsidRPr="00254BB6" w:rsidRDefault="00254BB6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16"/>
          <w:szCs w:val="16"/>
        </w:rPr>
      </w:pPr>
    </w:p>
    <w:p w:rsidR="007513DA" w:rsidRDefault="007513DA" w:rsidP="00254BB6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In this circumstance it is important to find out why the child has behaved in such a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way. It may be that the child is experiencing their own difficulties and may even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have been harmed themselves in a similar way. In such cases support such as one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to one mentoring or counselling may also be necessary. Particular support from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identified services may be necessary through a Team around a child/family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wellbeing/early help referral and the child may require additional support from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family members.</w:t>
      </w:r>
    </w:p>
    <w:p w:rsidR="00254BB6" w:rsidRPr="00254BB6" w:rsidRDefault="00254BB6" w:rsidP="00254BB6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Once the support required to meet the individual needs of the child has been met, it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is important that child receives a consequence for their behaviour. This may be in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the form of restorative justice e.g. making amends with the child they have targeted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if this has been some form of bullying. In the cases of sexually harmful behaviour it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 xml:space="preserve">may be a requirement for the child </w:t>
      </w:r>
      <w:r w:rsidRPr="002B2760">
        <w:rPr>
          <w:rFonts w:ascii="Calibri" w:hAnsi="Calibri" w:cs="Century Gothic"/>
          <w:sz w:val="26"/>
          <w:szCs w:val="26"/>
        </w:rPr>
        <w:lastRenderedPageBreak/>
        <w:t>to engage in one to one work with a particular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service or agency (if a crime has been committed this may be through the Police or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Youth Offending Service). If there is any form of criminal investigation ongoing it may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be that this child cannot be educated on site until the investigation has concluded.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In which case, the children will need to be provided with appropriate support and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education whilst off site.</w:t>
      </w:r>
    </w:p>
    <w:p w:rsidR="00254BB6" w:rsidRPr="00254BB6" w:rsidRDefault="00254BB6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Even following the conclusion of any investigation the behaviour that the child has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displayed may continue to pose a risk to others in which case an individual risk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assessment may be required. This would be completed via a multiagency response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to ensure that the needs of the child and the risks towards others are measured by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all of those agencies involved including the child and their parents/carers. This may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mean additional supervision of the child or protective strategies if the child feels at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risk of engaging in further inappropriate or harmful behaviour.</w:t>
      </w:r>
    </w:p>
    <w:p w:rsidR="00254BB6" w:rsidRPr="00254BB6" w:rsidRDefault="00254BB6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254BB6" w:rsidP="00254BB6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>
        <w:rPr>
          <w:rFonts w:ascii="Calibri" w:hAnsi="Calibri" w:cs="Century Gothic"/>
          <w:sz w:val="26"/>
          <w:szCs w:val="26"/>
        </w:rPr>
        <w:t>At Edith Cavell</w:t>
      </w:r>
      <w:r w:rsidR="007513DA" w:rsidRPr="002B2760">
        <w:rPr>
          <w:rFonts w:ascii="Calibri" w:hAnsi="Calibri" w:cs="Century Gothic"/>
          <w:sz w:val="26"/>
          <w:szCs w:val="26"/>
        </w:rPr>
        <w:t xml:space="preserve"> Primary School, we may also choose a punishment as a consequence</w:t>
      </w:r>
      <w:r>
        <w:rPr>
          <w:rFonts w:ascii="Calibri" w:hAnsi="Calibri" w:cs="Century Gothic"/>
          <w:sz w:val="26"/>
          <w:szCs w:val="26"/>
        </w:rPr>
        <w:t xml:space="preserve"> </w:t>
      </w:r>
      <w:r w:rsidR="007513DA" w:rsidRPr="002B2760">
        <w:rPr>
          <w:rFonts w:ascii="Calibri" w:hAnsi="Calibri" w:cs="Century Gothic"/>
          <w:sz w:val="26"/>
          <w:szCs w:val="26"/>
        </w:rPr>
        <w:t>such as exclusion or internal exclusion/inclusion/seclusion for a period of time to</w:t>
      </w:r>
      <w:r>
        <w:rPr>
          <w:rFonts w:ascii="Calibri" w:hAnsi="Calibri" w:cs="Century Gothic"/>
          <w:sz w:val="26"/>
          <w:szCs w:val="26"/>
        </w:rPr>
        <w:t xml:space="preserve"> </w:t>
      </w:r>
      <w:r w:rsidR="007513DA" w:rsidRPr="002B2760">
        <w:rPr>
          <w:rFonts w:ascii="Calibri" w:hAnsi="Calibri" w:cs="Century Gothic"/>
          <w:sz w:val="26"/>
          <w:szCs w:val="26"/>
        </w:rPr>
        <w:t>allow the child to reflect on their behaviour.</w:t>
      </w:r>
    </w:p>
    <w:p w:rsidR="00254BB6" w:rsidRPr="00254BB6" w:rsidRDefault="00254BB6" w:rsidP="00254BB6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26"/>
          <w:szCs w:val="26"/>
        </w:rPr>
      </w:pPr>
      <w:r w:rsidRPr="002B2760">
        <w:rPr>
          <w:rFonts w:ascii="Calibri" w:hAnsi="Calibri" w:cs="Century Gothic,Bold"/>
          <w:b/>
          <w:bCs/>
          <w:sz w:val="26"/>
          <w:szCs w:val="26"/>
        </w:rPr>
        <w:t>After care</w:t>
      </w:r>
    </w:p>
    <w:p w:rsidR="00254BB6" w:rsidRPr="00254BB6" w:rsidRDefault="00254BB6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It is important that following the incident the children involved continue to feel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supported and receive help even if they have stated that they are managing the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incident. Sometimes the feelings of remorse, regret or unhappiness may occur at a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much later stage than the incident. It is important to ensure that the children do not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engage in any further harmful behaviour either towards someone else or to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themselves as a way of coping (e.g. self-harm). In which case, regular reviews with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the children following the incident(s) are imperative.</w:t>
      </w:r>
    </w:p>
    <w:p w:rsidR="00254BB6" w:rsidRPr="00254BB6" w:rsidRDefault="00254BB6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26"/>
          <w:szCs w:val="26"/>
        </w:rPr>
      </w:pPr>
      <w:r w:rsidRPr="002B2760">
        <w:rPr>
          <w:rFonts w:ascii="Calibri" w:hAnsi="Calibri" w:cs="Century Gothic,Bold"/>
          <w:b/>
          <w:bCs/>
          <w:sz w:val="26"/>
          <w:szCs w:val="26"/>
        </w:rPr>
        <w:t>Preventative Strategies</w:t>
      </w:r>
    </w:p>
    <w:p w:rsidR="00254BB6" w:rsidRPr="00254BB6" w:rsidRDefault="00254BB6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16"/>
          <w:szCs w:val="16"/>
        </w:rPr>
      </w:pPr>
    </w:p>
    <w:p w:rsidR="007513DA" w:rsidRDefault="00254BB6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>
        <w:rPr>
          <w:rFonts w:ascii="Calibri" w:hAnsi="Calibri" w:cs="Century Gothic"/>
          <w:sz w:val="26"/>
          <w:szCs w:val="26"/>
        </w:rPr>
        <w:t>At Edith Cavell</w:t>
      </w:r>
      <w:r w:rsidR="007513DA" w:rsidRPr="002B2760">
        <w:rPr>
          <w:rFonts w:ascii="Calibri" w:hAnsi="Calibri" w:cs="Century Gothic"/>
          <w:sz w:val="26"/>
          <w:szCs w:val="26"/>
        </w:rPr>
        <w:t xml:space="preserve"> Primary School, we have developed appropriate strategies in order to</w:t>
      </w:r>
      <w:r>
        <w:rPr>
          <w:rFonts w:ascii="Calibri" w:hAnsi="Calibri" w:cs="Century Gothic"/>
          <w:sz w:val="26"/>
          <w:szCs w:val="26"/>
        </w:rPr>
        <w:t xml:space="preserve"> </w:t>
      </w:r>
      <w:r w:rsidR="007513DA" w:rsidRPr="002B2760">
        <w:rPr>
          <w:rFonts w:ascii="Calibri" w:hAnsi="Calibri" w:cs="Century Gothic"/>
          <w:sz w:val="26"/>
          <w:szCs w:val="26"/>
        </w:rPr>
        <w:t>prevent the issue of peer on peer abuse rather than manage the issues in a reactive</w:t>
      </w:r>
      <w:r>
        <w:rPr>
          <w:rFonts w:ascii="Calibri" w:hAnsi="Calibri" w:cs="Century Gothic"/>
          <w:sz w:val="26"/>
          <w:szCs w:val="26"/>
        </w:rPr>
        <w:t xml:space="preserve"> </w:t>
      </w:r>
      <w:r w:rsidR="007513DA" w:rsidRPr="002B2760">
        <w:rPr>
          <w:rFonts w:ascii="Calibri" w:hAnsi="Calibri" w:cs="Century Gothic"/>
          <w:sz w:val="26"/>
          <w:szCs w:val="26"/>
        </w:rPr>
        <w:t>way.</w:t>
      </w:r>
    </w:p>
    <w:p w:rsidR="00254BB6" w:rsidRPr="00254BB6" w:rsidRDefault="00254BB6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254BB6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Firstly, and most importantly for us is recognition that peer on peer abuse can and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will occur on any site even with the most stringent of policies and support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mechanisms. In which case it is important to continue to recognise and manage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such risks and learn how to improve and move forward with strategies in supporting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children to talk about any issues and through sharing information with all staff.</w:t>
      </w:r>
    </w:p>
    <w:p w:rsidR="00254BB6" w:rsidRPr="00254BB6" w:rsidRDefault="00254BB6" w:rsidP="00254BB6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254BB6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This is supported by ensuring that we have an open environment where children feel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safe to share information about anything that is upsetting or worrying them. This is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strengthened through a strong and positive PSHE/SMSC curriculum that tackles such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issues as prejudiced behaviour and gives children an open forum to talk things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through rather than seek one on one opportunities to be harmful to one another.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</w:p>
    <w:p w:rsidR="00254BB6" w:rsidRPr="00254BB6" w:rsidRDefault="00254BB6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254BB6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To enable such an open and honest environment it is necessary to ensure the whole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workforce feels confident and enabled to talk about issues and challenge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perceptions of children including use of inappropriate language and behaviour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towards one another. In order to create such an environment, it is necessary for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whole staff training and CPD around abusive behaviours and talking to children in a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way that continues to create an open and honest environment without prejudice. It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is incredibly important that staff do not dismiss issues as ‘banter’ or ‘growing up’ or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lastRenderedPageBreak/>
        <w:t>compare them to their own experiences of childhood. It is necessary that staff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consider each issue and each individual in their own right before taking action. If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staff minimise the concerns raised, it may result in a child seeking no further help or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advice.</w:t>
      </w:r>
    </w:p>
    <w:p w:rsidR="00254BB6" w:rsidRPr="00254BB6" w:rsidRDefault="00254BB6" w:rsidP="00254BB6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It is important that signposting is available to children in the event that they don’t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feel confident raising an issue to staff or a peer. It is useful to have a resource board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with support services on a wide range of issues so children can seek their own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solutions should they wish to. In the same way external services or support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programmes could be brought in to talk to children about specific issues in support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of the prevention of peer on peer abuse.</w:t>
      </w:r>
    </w:p>
    <w:p w:rsidR="00254BB6" w:rsidRPr="00254BB6" w:rsidRDefault="00254BB6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254BB6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Finally, it is useful to ensure children are part of changing their circumstances and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that of the procedures within</w:t>
      </w:r>
      <w:r w:rsidR="003106EC">
        <w:rPr>
          <w:rFonts w:ascii="Calibri" w:hAnsi="Calibri" w:cs="Century Gothic"/>
          <w:sz w:val="26"/>
          <w:szCs w:val="26"/>
        </w:rPr>
        <w:t xml:space="preserve"> schools. As such, at Edith Cavell</w:t>
      </w:r>
      <w:r w:rsidRPr="002B2760">
        <w:rPr>
          <w:rFonts w:ascii="Calibri" w:hAnsi="Calibri" w:cs="Century Gothic"/>
          <w:sz w:val="26"/>
          <w:szCs w:val="26"/>
        </w:rPr>
        <w:t xml:space="preserve"> Primary School, we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have an Article 12 Committee and pupil voice. We also encourage children to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support changes and develop ‘rules of acceptable behaviour’ which will go far in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helping to create a positive ethos in our school and one where all children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understand the boundaries of behaviour before it becomes abusive.</w:t>
      </w:r>
    </w:p>
    <w:p w:rsidR="00254BB6" w:rsidRPr="002B2760" w:rsidRDefault="00254BB6" w:rsidP="00254BB6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</w:p>
    <w:p w:rsidR="007513DA" w:rsidRPr="002B2760" w:rsidRDefault="007513DA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color w:val="000000"/>
          <w:sz w:val="26"/>
          <w:szCs w:val="26"/>
        </w:rPr>
      </w:pPr>
      <w:r w:rsidRPr="002B2760">
        <w:rPr>
          <w:rFonts w:ascii="Calibri" w:hAnsi="Calibri" w:cs="Century Gothic,Bold"/>
          <w:b/>
          <w:bCs/>
          <w:color w:val="000000"/>
          <w:sz w:val="26"/>
          <w:szCs w:val="26"/>
        </w:rPr>
        <w:t>References</w:t>
      </w:r>
    </w:p>
    <w:p w:rsidR="007513DA" w:rsidRPr="002B2760" w:rsidRDefault="007513DA" w:rsidP="00254BB6">
      <w:pPr>
        <w:autoSpaceDE w:val="0"/>
        <w:autoSpaceDN w:val="0"/>
        <w:adjustRightInd w:val="0"/>
        <w:spacing w:line="360" w:lineRule="auto"/>
        <w:rPr>
          <w:rFonts w:ascii="Calibri" w:hAnsi="Calibri" w:cs="Century Gothic"/>
          <w:color w:val="000000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t xml:space="preserve">Whatis.com </w:t>
      </w:r>
      <w:hyperlink r:id="rId10" w:history="1">
        <w:r w:rsidR="00F725A5" w:rsidRPr="00F563E3">
          <w:rPr>
            <w:rStyle w:val="Hyperlink"/>
            <w:rFonts w:ascii="Calibri" w:hAnsi="Calibri" w:cs="Century Gothic"/>
            <w:sz w:val="26"/>
            <w:szCs w:val="26"/>
          </w:rPr>
          <w:t>http://whatis.techtarget.com/definition/cyberbullying</w:t>
        </w:r>
      </w:hyperlink>
      <w:r w:rsidR="00F725A5">
        <w:rPr>
          <w:rFonts w:ascii="Calibri" w:hAnsi="Calibri" w:cs="Century Gothic"/>
          <w:color w:val="000000"/>
          <w:sz w:val="26"/>
          <w:szCs w:val="26"/>
        </w:rPr>
        <w:t xml:space="preserve"> </w:t>
      </w:r>
    </w:p>
    <w:p w:rsidR="007513DA" w:rsidRPr="002B2760" w:rsidRDefault="007513DA" w:rsidP="00254BB6">
      <w:pPr>
        <w:autoSpaceDE w:val="0"/>
        <w:autoSpaceDN w:val="0"/>
        <w:adjustRightInd w:val="0"/>
        <w:spacing w:line="360" w:lineRule="auto"/>
        <w:rPr>
          <w:rFonts w:ascii="Calibri" w:hAnsi="Calibri" w:cs="Century Gothic"/>
          <w:color w:val="000000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t xml:space="preserve">New Choices </w:t>
      </w:r>
      <w:proofErr w:type="spellStart"/>
      <w:r w:rsidRPr="002B2760">
        <w:rPr>
          <w:rFonts w:ascii="Calibri" w:hAnsi="Calibri" w:cs="Century Gothic"/>
          <w:color w:val="000000"/>
          <w:sz w:val="26"/>
          <w:szCs w:val="26"/>
        </w:rPr>
        <w:t>Inc</w:t>
      </w:r>
      <w:proofErr w:type="spellEnd"/>
      <w:r w:rsidRPr="002B2760">
        <w:rPr>
          <w:rFonts w:ascii="Calibri" w:hAnsi="Calibri" w:cs="Century Gothic"/>
          <w:color w:val="000000"/>
          <w:sz w:val="26"/>
          <w:szCs w:val="26"/>
        </w:rPr>
        <w:t xml:space="preserve"> </w:t>
      </w:r>
      <w:hyperlink r:id="rId11" w:history="1">
        <w:r w:rsidR="00F725A5" w:rsidRPr="00F563E3">
          <w:rPr>
            <w:rStyle w:val="Hyperlink"/>
            <w:rFonts w:ascii="Calibri" w:hAnsi="Calibri" w:cs="Century Gothic"/>
            <w:sz w:val="26"/>
            <w:szCs w:val="26"/>
          </w:rPr>
          <w:t>http://newchoicesinc.org/educated/abuse/TDV/def</w:t>
        </w:r>
      </w:hyperlink>
      <w:r w:rsidR="00F725A5">
        <w:rPr>
          <w:rFonts w:ascii="Calibri" w:hAnsi="Calibri" w:cs="Century Gothic"/>
          <w:color w:val="000000"/>
          <w:sz w:val="26"/>
          <w:szCs w:val="26"/>
        </w:rPr>
        <w:t xml:space="preserve"> </w:t>
      </w:r>
    </w:p>
    <w:p w:rsidR="007513DA" w:rsidRPr="002B2760" w:rsidRDefault="007513DA" w:rsidP="00254BB6">
      <w:pPr>
        <w:autoSpaceDE w:val="0"/>
        <w:autoSpaceDN w:val="0"/>
        <w:adjustRightInd w:val="0"/>
        <w:spacing w:line="360" w:lineRule="auto"/>
        <w:rPr>
          <w:rFonts w:ascii="Calibri" w:hAnsi="Calibri" w:cs="Century Gothic"/>
          <w:color w:val="000000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t>This is abuse campaign</w:t>
      </w:r>
    </w:p>
    <w:p w:rsidR="007513DA" w:rsidRPr="002B2760" w:rsidRDefault="007513DA" w:rsidP="00254BB6">
      <w:pPr>
        <w:autoSpaceDE w:val="0"/>
        <w:autoSpaceDN w:val="0"/>
        <w:adjustRightInd w:val="0"/>
        <w:spacing w:line="360" w:lineRule="auto"/>
        <w:rPr>
          <w:rFonts w:ascii="Calibri" w:hAnsi="Calibri" w:cs="Century Gothic"/>
          <w:color w:val="000000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t>https://www.gov.uk/government/uploads/system/uploads/attachment_data/file/41</w:t>
      </w:r>
    </w:p>
    <w:p w:rsidR="007513DA" w:rsidRPr="002B2760" w:rsidRDefault="007513DA" w:rsidP="00254BB6">
      <w:pPr>
        <w:autoSpaceDE w:val="0"/>
        <w:autoSpaceDN w:val="0"/>
        <w:adjustRightInd w:val="0"/>
        <w:spacing w:line="360" w:lineRule="auto"/>
        <w:rPr>
          <w:rFonts w:ascii="Calibri" w:hAnsi="Calibri" w:cs="Century Gothic"/>
          <w:color w:val="000000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t>001 0/2015-03-08_This_is_Abuse_campaign_summary_report__2_.pdf</w:t>
      </w:r>
      <w:r w:rsidR="00F725A5">
        <w:rPr>
          <w:rFonts w:ascii="Calibri" w:hAnsi="Calibri" w:cs="Century Gothic"/>
          <w:color w:val="000000"/>
          <w:sz w:val="26"/>
          <w:szCs w:val="26"/>
        </w:rPr>
        <w:t xml:space="preserve"> </w:t>
      </w:r>
    </w:p>
    <w:p w:rsidR="007513DA" w:rsidRPr="002B2760" w:rsidRDefault="007513DA" w:rsidP="00254BB6">
      <w:pPr>
        <w:autoSpaceDE w:val="0"/>
        <w:autoSpaceDN w:val="0"/>
        <w:adjustRightInd w:val="0"/>
        <w:spacing w:line="360" w:lineRule="auto"/>
        <w:rPr>
          <w:rFonts w:ascii="Calibri" w:hAnsi="Calibri" w:cs="Century Gothic"/>
          <w:color w:val="000000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t>Stop bullying.gov</w:t>
      </w:r>
    </w:p>
    <w:p w:rsidR="007513DA" w:rsidRPr="002B2760" w:rsidRDefault="007513DA" w:rsidP="00254BB6">
      <w:pPr>
        <w:autoSpaceDE w:val="0"/>
        <w:autoSpaceDN w:val="0"/>
        <w:adjustRightInd w:val="0"/>
        <w:spacing w:line="360" w:lineRule="auto"/>
        <w:rPr>
          <w:rFonts w:ascii="Calibri" w:hAnsi="Calibri" w:cs="Century Gothic"/>
          <w:color w:val="000000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t>http://www.stopbullying.gov/what-is bullying/definition/</w:t>
      </w:r>
      <w:proofErr w:type="spellStart"/>
      <w:r w:rsidRPr="002B2760">
        <w:rPr>
          <w:rFonts w:ascii="Calibri" w:hAnsi="Calibri" w:cs="Century Gothic"/>
          <w:color w:val="000000"/>
          <w:sz w:val="26"/>
          <w:szCs w:val="26"/>
        </w:rPr>
        <w:t>index.html#types</w:t>
      </w:r>
      <w:proofErr w:type="spellEnd"/>
      <w:r w:rsidR="00F725A5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="00254BB6">
        <w:rPr>
          <w:rFonts w:ascii="Calibri" w:hAnsi="Calibri" w:cs="Century Gothic"/>
          <w:color w:val="000000"/>
          <w:sz w:val="26"/>
          <w:szCs w:val="26"/>
        </w:rPr>
        <w:t xml:space="preserve"> </w:t>
      </w:r>
    </w:p>
    <w:p w:rsidR="007513DA" w:rsidRDefault="007513DA" w:rsidP="00254BB6">
      <w:pPr>
        <w:autoSpaceDE w:val="0"/>
        <w:autoSpaceDN w:val="0"/>
        <w:adjustRightInd w:val="0"/>
        <w:rPr>
          <w:rFonts w:ascii="Calibri" w:hAnsi="Calibri" w:cs="Century Gothic"/>
          <w:color w:val="000000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t>Holding Together: equalities, difference and cohesion, a resource for school</w:t>
      </w:r>
      <w:r w:rsidR="00254BB6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2B2760">
        <w:rPr>
          <w:rFonts w:ascii="Calibri" w:hAnsi="Calibri" w:cs="Century Gothic"/>
          <w:color w:val="000000"/>
          <w:sz w:val="26"/>
          <w:szCs w:val="26"/>
        </w:rPr>
        <w:t>improvement planning, published for Derbyshire Education Authority by Trentham</w:t>
      </w:r>
      <w:r w:rsidR="00254BB6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2B2760">
        <w:rPr>
          <w:rFonts w:ascii="Calibri" w:hAnsi="Calibri" w:cs="Century Gothic"/>
          <w:color w:val="000000"/>
          <w:sz w:val="26"/>
          <w:szCs w:val="26"/>
        </w:rPr>
        <w:t>Books, summer 2009.</w:t>
      </w:r>
    </w:p>
    <w:p w:rsidR="00254BB6" w:rsidRPr="002B2760" w:rsidRDefault="00254BB6" w:rsidP="00254BB6">
      <w:pPr>
        <w:autoSpaceDE w:val="0"/>
        <w:autoSpaceDN w:val="0"/>
        <w:adjustRightInd w:val="0"/>
        <w:rPr>
          <w:rFonts w:ascii="Calibri" w:hAnsi="Calibri" w:cs="Century Gothic"/>
          <w:color w:val="000000"/>
          <w:sz w:val="26"/>
          <w:szCs w:val="26"/>
        </w:rPr>
      </w:pPr>
    </w:p>
    <w:p w:rsidR="007513DA" w:rsidRPr="002B2760" w:rsidRDefault="007513DA" w:rsidP="00254BB6">
      <w:pPr>
        <w:autoSpaceDE w:val="0"/>
        <w:autoSpaceDN w:val="0"/>
        <w:adjustRightInd w:val="0"/>
        <w:spacing w:line="360" w:lineRule="auto"/>
        <w:rPr>
          <w:rFonts w:ascii="Calibri" w:hAnsi="Calibri" w:cs="Century Gothic"/>
          <w:color w:val="000000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t>EACH resources for LGBT</w:t>
      </w:r>
    </w:p>
    <w:p w:rsidR="007513DA" w:rsidRPr="002B2760" w:rsidRDefault="007513DA" w:rsidP="00254BB6">
      <w:pPr>
        <w:autoSpaceDE w:val="0"/>
        <w:autoSpaceDN w:val="0"/>
        <w:adjustRightInd w:val="0"/>
        <w:spacing w:line="360" w:lineRule="auto"/>
        <w:rPr>
          <w:rFonts w:ascii="Calibri" w:hAnsi="Calibri" w:cs="Century Gothic"/>
          <w:color w:val="000000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t>CEOP</w:t>
      </w:r>
    </w:p>
    <w:p w:rsidR="007513DA" w:rsidRPr="002B2760" w:rsidRDefault="00644461" w:rsidP="00254BB6">
      <w:pPr>
        <w:spacing w:line="360" w:lineRule="auto"/>
        <w:rPr>
          <w:rFonts w:ascii="Calibri" w:hAnsi="Calibri" w:cs="Century Gothic"/>
          <w:color w:val="0563C2"/>
          <w:sz w:val="26"/>
          <w:szCs w:val="26"/>
        </w:rPr>
      </w:pPr>
      <w:hyperlink r:id="rId12" w:history="1">
        <w:r w:rsidR="007513DA" w:rsidRPr="002B2760">
          <w:rPr>
            <w:rStyle w:val="Hyperlink"/>
            <w:rFonts w:ascii="Calibri" w:hAnsi="Calibri" w:cs="Century Gothic"/>
            <w:sz w:val="26"/>
            <w:szCs w:val="26"/>
          </w:rPr>
          <w:t>https://www.ceop.police.uk/Media-Centre/Press-releases/2009/What-doessextingmean</w:t>
        </w:r>
      </w:hyperlink>
    </w:p>
    <w:p w:rsidR="007513DA" w:rsidRPr="002B2760" w:rsidRDefault="007513DA">
      <w:pPr>
        <w:rPr>
          <w:rFonts w:ascii="Calibri" w:hAnsi="Calibri" w:cs="Century Gothic"/>
          <w:color w:val="0563C2"/>
          <w:sz w:val="26"/>
          <w:szCs w:val="26"/>
        </w:rPr>
      </w:pPr>
      <w:r w:rsidRPr="002B2760">
        <w:rPr>
          <w:rFonts w:ascii="Calibri" w:hAnsi="Calibri" w:cs="Century Gothic"/>
          <w:color w:val="0563C2"/>
          <w:sz w:val="26"/>
          <w:szCs w:val="26"/>
        </w:rPr>
        <w:br w:type="page"/>
      </w:r>
    </w:p>
    <w:p w:rsidR="007513DA" w:rsidRPr="00254BB6" w:rsidRDefault="007513DA" w:rsidP="00254BB6">
      <w:pPr>
        <w:autoSpaceDE w:val="0"/>
        <w:autoSpaceDN w:val="0"/>
        <w:adjustRightInd w:val="0"/>
        <w:jc w:val="center"/>
        <w:rPr>
          <w:rFonts w:ascii="Calibri" w:hAnsi="Calibri" w:cs="Century Gothic,Bold"/>
          <w:b/>
          <w:bCs/>
          <w:sz w:val="26"/>
          <w:szCs w:val="26"/>
          <w:u w:val="single"/>
        </w:rPr>
      </w:pPr>
      <w:r w:rsidRPr="00254BB6">
        <w:rPr>
          <w:rFonts w:ascii="Calibri" w:hAnsi="Calibri" w:cs="Century Gothic,Bold"/>
          <w:b/>
          <w:bCs/>
          <w:sz w:val="26"/>
          <w:szCs w:val="26"/>
          <w:u w:val="single"/>
        </w:rPr>
        <w:lastRenderedPageBreak/>
        <w:t>Appendix A</w:t>
      </w:r>
    </w:p>
    <w:p w:rsidR="00254BB6" w:rsidRDefault="00254BB6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26"/>
          <w:szCs w:val="26"/>
        </w:rPr>
      </w:pPr>
    </w:p>
    <w:p w:rsidR="007513DA" w:rsidRPr="00254BB6" w:rsidRDefault="007513DA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26"/>
          <w:szCs w:val="26"/>
          <w:u w:val="single"/>
        </w:rPr>
      </w:pPr>
      <w:r w:rsidRPr="00254BB6">
        <w:rPr>
          <w:rFonts w:ascii="Calibri" w:hAnsi="Calibri" w:cs="Century Gothic,Bold"/>
          <w:b/>
          <w:bCs/>
          <w:sz w:val="26"/>
          <w:szCs w:val="26"/>
          <w:u w:val="single"/>
        </w:rPr>
        <w:t xml:space="preserve">A child's legal rights </w:t>
      </w:r>
      <w:proofErr w:type="spellStart"/>
      <w:r w:rsidRPr="00254BB6">
        <w:rPr>
          <w:rFonts w:ascii="Calibri" w:hAnsi="Calibri" w:cs="Century Gothic,Bold"/>
          <w:b/>
          <w:bCs/>
          <w:sz w:val="26"/>
          <w:szCs w:val="26"/>
          <w:u w:val="single"/>
        </w:rPr>
        <w:t>Gillick</w:t>
      </w:r>
      <w:proofErr w:type="spellEnd"/>
      <w:r w:rsidRPr="00254BB6">
        <w:rPr>
          <w:rFonts w:ascii="Calibri" w:hAnsi="Calibri" w:cs="Century Gothic,Bold"/>
          <w:b/>
          <w:bCs/>
          <w:sz w:val="26"/>
          <w:szCs w:val="26"/>
          <w:u w:val="single"/>
        </w:rPr>
        <w:t xml:space="preserve"> competency and Fraser guidelines</w:t>
      </w:r>
    </w:p>
    <w:p w:rsidR="00254BB6" w:rsidRPr="00CF2E67" w:rsidRDefault="00254BB6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>When we are trying to decide whether a child is mature enough to make decisions,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people often talk about whether a child is '</w:t>
      </w:r>
      <w:proofErr w:type="spellStart"/>
      <w:r w:rsidRPr="002B2760">
        <w:rPr>
          <w:rFonts w:ascii="Calibri" w:hAnsi="Calibri" w:cs="Century Gothic"/>
          <w:sz w:val="26"/>
          <w:szCs w:val="26"/>
        </w:rPr>
        <w:t>Gillick</w:t>
      </w:r>
      <w:proofErr w:type="spellEnd"/>
      <w:r w:rsidRPr="002B2760">
        <w:rPr>
          <w:rFonts w:ascii="Calibri" w:hAnsi="Calibri" w:cs="Century Gothic"/>
          <w:sz w:val="26"/>
          <w:szCs w:val="26"/>
        </w:rPr>
        <w:t xml:space="preserve"> competent' or whether they meet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the 'Fraser guidelines'.</w:t>
      </w:r>
    </w:p>
    <w:p w:rsidR="00254BB6" w:rsidRPr="00CF2E67" w:rsidRDefault="00254BB6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 xml:space="preserve">The </w:t>
      </w:r>
      <w:proofErr w:type="spellStart"/>
      <w:r w:rsidRPr="002B2760">
        <w:rPr>
          <w:rFonts w:ascii="Calibri" w:hAnsi="Calibri" w:cs="Century Gothic"/>
          <w:sz w:val="26"/>
          <w:szCs w:val="26"/>
        </w:rPr>
        <w:t>Gillick</w:t>
      </w:r>
      <w:proofErr w:type="spellEnd"/>
      <w:r w:rsidRPr="002B2760">
        <w:rPr>
          <w:rFonts w:ascii="Calibri" w:hAnsi="Calibri" w:cs="Century Gothic"/>
          <w:sz w:val="26"/>
          <w:szCs w:val="26"/>
        </w:rPr>
        <w:t xml:space="preserve"> competency and Fraser guidelines help us all to balance children’s rights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and wishes with our responsibility to keep children safe from harm</w:t>
      </w:r>
      <w:r w:rsidR="00254BB6">
        <w:rPr>
          <w:rFonts w:ascii="Calibri" w:hAnsi="Calibri" w:cs="Century Gothic"/>
          <w:sz w:val="26"/>
          <w:szCs w:val="26"/>
        </w:rPr>
        <w:t>.</w:t>
      </w:r>
    </w:p>
    <w:p w:rsidR="00254BB6" w:rsidRPr="00CF2E67" w:rsidRDefault="00254BB6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Pr="00254BB6" w:rsidRDefault="007513DA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26"/>
          <w:szCs w:val="26"/>
          <w:u w:val="single"/>
        </w:rPr>
      </w:pPr>
      <w:r w:rsidRPr="00254BB6">
        <w:rPr>
          <w:rFonts w:ascii="Calibri" w:hAnsi="Calibri" w:cs="Century Gothic,Bold"/>
          <w:b/>
          <w:bCs/>
          <w:sz w:val="26"/>
          <w:szCs w:val="26"/>
          <w:u w:val="single"/>
        </w:rPr>
        <w:t>What do '</w:t>
      </w:r>
      <w:proofErr w:type="spellStart"/>
      <w:r w:rsidRPr="00254BB6">
        <w:rPr>
          <w:rFonts w:ascii="Calibri" w:hAnsi="Calibri" w:cs="Century Gothic,Bold"/>
          <w:b/>
          <w:bCs/>
          <w:sz w:val="26"/>
          <w:szCs w:val="26"/>
          <w:u w:val="single"/>
        </w:rPr>
        <w:t>Gillick</w:t>
      </w:r>
      <w:proofErr w:type="spellEnd"/>
      <w:r w:rsidRPr="00254BB6">
        <w:rPr>
          <w:rFonts w:ascii="Calibri" w:hAnsi="Calibri" w:cs="Century Gothic,Bold"/>
          <w:b/>
          <w:bCs/>
          <w:sz w:val="26"/>
          <w:szCs w:val="26"/>
          <w:u w:val="single"/>
        </w:rPr>
        <w:t xml:space="preserve"> competency' and 'Fraser guidelines' refer to?</w:t>
      </w:r>
    </w:p>
    <w:p w:rsidR="00254BB6" w:rsidRPr="00CF2E67" w:rsidRDefault="00254BB6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proofErr w:type="spellStart"/>
      <w:r w:rsidRPr="002B2760">
        <w:rPr>
          <w:rFonts w:ascii="Calibri" w:hAnsi="Calibri" w:cs="Century Gothic"/>
          <w:sz w:val="26"/>
          <w:szCs w:val="26"/>
        </w:rPr>
        <w:t>Gillick</w:t>
      </w:r>
      <w:proofErr w:type="spellEnd"/>
      <w:r w:rsidRPr="002B2760">
        <w:rPr>
          <w:rFonts w:ascii="Calibri" w:hAnsi="Calibri" w:cs="Century Gothic"/>
          <w:sz w:val="26"/>
          <w:szCs w:val="26"/>
        </w:rPr>
        <w:t xml:space="preserve"> competency and Fraser guidelines refer to a legal case which looked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specifically at whether doctors should be able to give contraceptive advice or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treatment to under 16-year-olds without parental consent. But since then, they have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been more widely used to help assess whether a child has the maturity to make their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own decisions and to understand the implications of those decisions.</w:t>
      </w:r>
    </w:p>
    <w:p w:rsidR="00254BB6" w:rsidRPr="00CF2E67" w:rsidRDefault="00254BB6" w:rsidP="007513DA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254BB6">
      <w:pPr>
        <w:autoSpaceDE w:val="0"/>
        <w:autoSpaceDN w:val="0"/>
        <w:adjustRightInd w:val="0"/>
        <w:rPr>
          <w:rFonts w:ascii="Calibri" w:hAnsi="Calibri" w:cs="Century Gothic"/>
          <w:sz w:val="26"/>
          <w:szCs w:val="26"/>
        </w:rPr>
      </w:pPr>
      <w:r w:rsidRPr="002B2760">
        <w:rPr>
          <w:rFonts w:ascii="Calibri" w:hAnsi="Calibri" w:cs="Century Gothic"/>
          <w:sz w:val="26"/>
          <w:szCs w:val="26"/>
        </w:rPr>
        <w:t xml:space="preserve">In 1982 Mrs Victoria </w:t>
      </w:r>
      <w:proofErr w:type="spellStart"/>
      <w:r w:rsidRPr="002B2760">
        <w:rPr>
          <w:rFonts w:ascii="Calibri" w:hAnsi="Calibri" w:cs="Century Gothic"/>
          <w:sz w:val="26"/>
          <w:szCs w:val="26"/>
        </w:rPr>
        <w:t>Gillick</w:t>
      </w:r>
      <w:proofErr w:type="spellEnd"/>
      <w:r w:rsidRPr="002B2760">
        <w:rPr>
          <w:rFonts w:ascii="Calibri" w:hAnsi="Calibri" w:cs="Century Gothic"/>
          <w:sz w:val="26"/>
          <w:szCs w:val="26"/>
        </w:rPr>
        <w:t xml:space="preserve"> took her local health authority (West Norfolk and </w:t>
      </w:r>
      <w:proofErr w:type="spellStart"/>
      <w:r w:rsidRPr="002B2760">
        <w:rPr>
          <w:rFonts w:ascii="Calibri" w:hAnsi="Calibri" w:cs="Century Gothic"/>
          <w:sz w:val="26"/>
          <w:szCs w:val="26"/>
        </w:rPr>
        <w:t>Wisbech</w:t>
      </w:r>
      <w:proofErr w:type="spellEnd"/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Area Health Authority) and the Department of Health and Social Security to court in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an attempt to stop doctors from giving contraceptive advice or treatment to under</w:t>
      </w:r>
      <w:r w:rsidR="00254BB6">
        <w:rPr>
          <w:rFonts w:ascii="Calibri" w:hAnsi="Calibri" w:cs="Century Gothic"/>
          <w:sz w:val="26"/>
          <w:szCs w:val="26"/>
        </w:rPr>
        <w:t xml:space="preserve"> </w:t>
      </w:r>
      <w:r w:rsidRPr="002B2760">
        <w:rPr>
          <w:rFonts w:ascii="Calibri" w:hAnsi="Calibri" w:cs="Century Gothic"/>
          <w:sz w:val="26"/>
          <w:szCs w:val="26"/>
        </w:rPr>
        <w:t>16-year-olds without parental consent.</w:t>
      </w:r>
    </w:p>
    <w:p w:rsidR="00254BB6" w:rsidRPr="00CF2E67" w:rsidRDefault="00254BB6" w:rsidP="00254BB6">
      <w:pPr>
        <w:autoSpaceDE w:val="0"/>
        <w:autoSpaceDN w:val="0"/>
        <w:adjustRightInd w:val="0"/>
        <w:rPr>
          <w:rFonts w:ascii="Calibri" w:hAnsi="Calibri" w:cs="Century Gothic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color w:val="000000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t>The case went to the High Court in 1984 where Mr Justice Woolf dismissed Mrs</w:t>
      </w:r>
      <w:r w:rsidR="00254BB6">
        <w:rPr>
          <w:rFonts w:ascii="Calibri" w:hAnsi="Calibri" w:cs="Century Gothic"/>
          <w:color w:val="000000"/>
          <w:sz w:val="26"/>
          <w:szCs w:val="26"/>
        </w:rPr>
        <w:t xml:space="preserve"> </w:t>
      </w:r>
      <w:proofErr w:type="spellStart"/>
      <w:r w:rsidRPr="002B2760">
        <w:rPr>
          <w:rFonts w:ascii="Calibri" w:hAnsi="Calibri" w:cs="Century Gothic"/>
          <w:color w:val="000000"/>
          <w:sz w:val="26"/>
          <w:szCs w:val="26"/>
        </w:rPr>
        <w:t>Gillick’s</w:t>
      </w:r>
      <w:proofErr w:type="spellEnd"/>
      <w:r w:rsidRPr="002B2760">
        <w:rPr>
          <w:rFonts w:ascii="Calibri" w:hAnsi="Calibri" w:cs="Century Gothic"/>
          <w:color w:val="000000"/>
          <w:sz w:val="26"/>
          <w:szCs w:val="26"/>
        </w:rPr>
        <w:t xml:space="preserve"> claims. The Court of Appeal reversed this decision, but in 1985 it went to the</w:t>
      </w:r>
      <w:r w:rsidR="00254BB6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2B2760">
        <w:rPr>
          <w:rFonts w:ascii="Calibri" w:hAnsi="Calibri" w:cs="Century Gothic"/>
          <w:color w:val="000000"/>
          <w:sz w:val="26"/>
          <w:szCs w:val="26"/>
        </w:rPr>
        <w:t xml:space="preserve">House of Lords and the Law Lords (Lord </w:t>
      </w:r>
      <w:proofErr w:type="spellStart"/>
      <w:r w:rsidRPr="002B2760">
        <w:rPr>
          <w:rFonts w:ascii="Calibri" w:hAnsi="Calibri" w:cs="Century Gothic"/>
          <w:color w:val="000000"/>
          <w:sz w:val="26"/>
          <w:szCs w:val="26"/>
        </w:rPr>
        <w:t>Scarman</w:t>
      </w:r>
      <w:proofErr w:type="spellEnd"/>
      <w:r w:rsidRPr="002B2760">
        <w:rPr>
          <w:rFonts w:ascii="Calibri" w:hAnsi="Calibri" w:cs="Century Gothic"/>
          <w:color w:val="000000"/>
          <w:sz w:val="26"/>
          <w:szCs w:val="26"/>
        </w:rPr>
        <w:t>, Lord Fraser and Lord Bridge) ruled</w:t>
      </w:r>
      <w:r w:rsidR="00254BB6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2B2760">
        <w:rPr>
          <w:rFonts w:ascii="Calibri" w:hAnsi="Calibri" w:cs="Century Gothic"/>
          <w:color w:val="000000"/>
          <w:sz w:val="26"/>
          <w:szCs w:val="26"/>
        </w:rPr>
        <w:t>in favour of the original judgment delivered by Mr Justice Woolf:</w:t>
      </w:r>
    </w:p>
    <w:p w:rsidR="00254BB6" w:rsidRPr="00CF2E67" w:rsidRDefault="00254BB6" w:rsidP="007513DA">
      <w:pPr>
        <w:autoSpaceDE w:val="0"/>
        <w:autoSpaceDN w:val="0"/>
        <w:adjustRightInd w:val="0"/>
        <w:rPr>
          <w:rFonts w:ascii="Calibri" w:hAnsi="Calibri" w:cs="Century Gothic"/>
          <w:color w:val="000000"/>
          <w:sz w:val="16"/>
          <w:szCs w:val="16"/>
        </w:rPr>
      </w:pPr>
    </w:p>
    <w:p w:rsidR="007513DA" w:rsidRPr="002B2760" w:rsidRDefault="007513DA" w:rsidP="007513DA">
      <w:pPr>
        <w:autoSpaceDE w:val="0"/>
        <w:autoSpaceDN w:val="0"/>
        <w:adjustRightInd w:val="0"/>
        <w:rPr>
          <w:rFonts w:ascii="Calibri" w:hAnsi="Calibri" w:cs="Century Gothic"/>
          <w:color w:val="000000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t>"...whether or not a child is capable of giving the necessary consent will depend on</w:t>
      </w:r>
    </w:p>
    <w:p w:rsidR="007513DA" w:rsidRPr="002B2760" w:rsidRDefault="007513DA" w:rsidP="007513DA">
      <w:pPr>
        <w:autoSpaceDE w:val="0"/>
        <w:autoSpaceDN w:val="0"/>
        <w:adjustRightInd w:val="0"/>
        <w:rPr>
          <w:rFonts w:ascii="Calibri" w:hAnsi="Calibri" w:cs="Century Gothic"/>
          <w:color w:val="000000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t>the child’s maturity and understanding and the nature of the consent required. The</w:t>
      </w:r>
    </w:p>
    <w:p w:rsidR="007513DA" w:rsidRPr="002B2760" w:rsidRDefault="007513DA" w:rsidP="007513DA">
      <w:pPr>
        <w:autoSpaceDE w:val="0"/>
        <w:autoSpaceDN w:val="0"/>
        <w:adjustRightInd w:val="0"/>
        <w:rPr>
          <w:rFonts w:ascii="Calibri" w:hAnsi="Calibri" w:cs="Century Gothic"/>
          <w:color w:val="000000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t>child must be capable of making a reasonable assessment of the advantages and</w:t>
      </w:r>
    </w:p>
    <w:p w:rsidR="007513DA" w:rsidRPr="002B2760" w:rsidRDefault="007513DA" w:rsidP="007513DA">
      <w:pPr>
        <w:autoSpaceDE w:val="0"/>
        <w:autoSpaceDN w:val="0"/>
        <w:adjustRightInd w:val="0"/>
        <w:rPr>
          <w:rFonts w:ascii="Calibri" w:hAnsi="Calibri" w:cs="Century Gothic"/>
          <w:color w:val="000000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t>disadvantages of the treatment proposed, so the consent, if given, can be properly</w:t>
      </w: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color w:val="0000FF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t xml:space="preserve">and fairly described as true consent." </w:t>
      </w:r>
      <w:r w:rsidRPr="002B2760">
        <w:rPr>
          <w:rFonts w:ascii="Calibri" w:hAnsi="Calibri" w:cs="Century Gothic"/>
          <w:color w:val="0000FF"/>
          <w:sz w:val="26"/>
          <w:szCs w:val="26"/>
        </w:rPr>
        <w:t>(</w:t>
      </w:r>
      <w:proofErr w:type="spellStart"/>
      <w:r w:rsidRPr="002B2760">
        <w:rPr>
          <w:rFonts w:ascii="Calibri" w:hAnsi="Calibri" w:cs="Century Gothic"/>
          <w:color w:val="0000FF"/>
          <w:sz w:val="26"/>
          <w:szCs w:val="26"/>
        </w:rPr>
        <w:t>Gillick</w:t>
      </w:r>
      <w:proofErr w:type="spellEnd"/>
      <w:r w:rsidRPr="002B2760">
        <w:rPr>
          <w:rFonts w:ascii="Calibri" w:hAnsi="Calibri" w:cs="Century Gothic"/>
          <w:color w:val="0000FF"/>
          <w:sz w:val="26"/>
          <w:szCs w:val="26"/>
        </w:rPr>
        <w:t xml:space="preserve"> v West Norfolk, 1984)</w:t>
      </w:r>
    </w:p>
    <w:p w:rsidR="00254BB6" w:rsidRPr="00CF2E67" w:rsidRDefault="00254BB6" w:rsidP="007513DA">
      <w:pPr>
        <w:autoSpaceDE w:val="0"/>
        <w:autoSpaceDN w:val="0"/>
        <w:adjustRightInd w:val="0"/>
        <w:rPr>
          <w:rFonts w:ascii="Calibri" w:hAnsi="Calibri" w:cs="Century Gothic"/>
          <w:color w:val="0000FF"/>
          <w:sz w:val="16"/>
          <w:szCs w:val="16"/>
        </w:rPr>
      </w:pPr>
    </w:p>
    <w:p w:rsidR="007513DA" w:rsidRPr="002B2760" w:rsidRDefault="007513DA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color w:val="000000"/>
          <w:sz w:val="26"/>
          <w:szCs w:val="26"/>
        </w:rPr>
      </w:pPr>
      <w:r w:rsidRPr="002B2760">
        <w:rPr>
          <w:rFonts w:ascii="Calibri" w:hAnsi="Calibri" w:cs="Century Gothic,Bold"/>
          <w:b/>
          <w:bCs/>
          <w:color w:val="000000"/>
          <w:sz w:val="26"/>
          <w:szCs w:val="26"/>
        </w:rPr>
        <w:t>How are the Fraser Guidelines applied?</w:t>
      </w:r>
    </w:p>
    <w:p w:rsidR="00254BB6" w:rsidRPr="00CF2E67" w:rsidRDefault="00254BB6" w:rsidP="007513DA">
      <w:pPr>
        <w:autoSpaceDE w:val="0"/>
        <w:autoSpaceDN w:val="0"/>
        <w:adjustRightInd w:val="0"/>
        <w:rPr>
          <w:rFonts w:ascii="Calibri" w:hAnsi="Calibri" w:cs="Century Gothic"/>
          <w:color w:val="000000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color w:val="000000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t>The Fraser guidelines refer to the guidelines set out by Lord Fraser in his judgment of</w:t>
      </w:r>
      <w:r w:rsidR="00254BB6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2B2760">
        <w:rPr>
          <w:rFonts w:ascii="Calibri" w:hAnsi="Calibri" w:cs="Century Gothic"/>
          <w:color w:val="000000"/>
          <w:sz w:val="26"/>
          <w:szCs w:val="26"/>
        </w:rPr>
        <w:t xml:space="preserve">the </w:t>
      </w:r>
      <w:proofErr w:type="spellStart"/>
      <w:r w:rsidRPr="002B2760">
        <w:rPr>
          <w:rFonts w:ascii="Calibri" w:hAnsi="Calibri" w:cs="Century Gothic"/>
          <w:color w:val="000000"/>
          <w:sz w:val="26"/>
          <w:szCs w:val="26"/>
        </w:rPr>
        <w:t>Gillick</w:t>
      </w:r>
      <w:proofErr w:type="spellEnd"/>
      <w:r w:rsidRPr="002B2760">
        <w:rPr>
          <w:rFonts w:ascii="Calibri" w:hAnsi="Calibri" w:cs="Century Gothic"/>
          <w:color w:val="000000"/>
          <w:sz w:val="26"/>
          <w:szCs w:val="26"/>
        </w:rPr>
        <w:t xml:space="preserve"> case in the House of Lords (1985), which apply specifically to</w:t>
      </w:r>
      <w:r w:rsidR="00254BB6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2B2760">
        <w:rPr>
          <w:rFonts w:ascii="Calibri" w:hAnsi="Calibri" w:cs="Century Gothic"/>
          <w:color w:val="000000"/>
          <w:sz w:val="26"/>
          <w:szCs w:val="26"/>
        </w:rPr>
        <w:t>contraceptive advice. Lord Fraser stated that a doctor could proceed to give</w:t>
      </w:r>
      <w:r w:rsidR="00254BB6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2B2760">
        <w:rPr>
          <w:rFonts w:ascii="Calibri" w:hAnsi="Calibri" w:cs="Century Gothic"/>
          <w:color w:val="000000"/>
          <w:sz w:val="26"/>
          <w:szCs w:val="26"/>
        </w:rPr>
        <w:t>advice and treatment:</w:t>
      </w:r>
    </w:p>
    <w:p w:rsidR="00254BB6" w:rsidRPr="00CF2E67" w:rsidRDefault="00254BB6" w:rsidP="007513DA">
      <w:pPr>
        <w:autoSpaceDE w:val="0"/>
        <w:autoSpaceDN w:val="0"/>
        <w:adjustRightInd w:val="0"/>
        <w:rPr>
          <w:rFonts w:ascii="Calibri" w:hAnsi="Calibri" w:cs="Century Gothic"/>
          <w:color w:val="000000"/>
          <w:sz w:val="16"/>
          <w:szCs w:val="16"/>
        </w:rPr>
      </w:pPr>
    </w:p>
    <w:p w:rsidR="007513DA" w:rsidRDefault="007513DA" w:rsidP="007513DA">
      <w:pPr>
        <w:rPr>
          <w:rFonts w:ascii="Calibri" w:hAnsi="Calibri" w:cs="Century Gothic"/>
          <w:color w:val="000000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t>"provided he is satisfied in the following criteria:</w:t>
      </w:r>
    </w:p>
    <w:p w:rsidR="00CF2E67" w:rsidRPr="00CF2E67" w:rsidRDefault="00CF2E67" w:rsidP="007513DA">
      <w:pPr>
        <w:rPr>
          <w:rFonts w:ascii="Calibri" w:hAnsi="Calibri" w:cs="Century Gothic"/>
          <w:color w:val="000000"/>
          <w:sz w:val="16"/>
          <w:szCs w:val="16"/>
        </w:rPr>
      </w:pPr>
    </w:p>
    <w:p w:rsidR="007513DA" w:rsidRPr="002B2760" w:rsidRDefault="007513DA" w:rsidP="00CF2E67">
      <w:pPr>
        <w:autoSpaceDE w:val="0"/>
        <w:autoSpaceDN w:val="0"/>
        <w:adjustRightInd w:val="0"/>
        <w:ind w:left="720"/>
        <w:rPr>
          <w:rFonts w:ascii="Calibri" w:hAnsi="Calibri" w:cs="Century Gothic"/>
          <w:color w:val="000000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t>1. that the girl (although under the age of 16 years of age) will understand his</w:t>
      </w:r>
      <w:r w:rsidR="00CF2E67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2B2760">
        <w:rPr>
          <w:rFonts w:ascii="Calibri" w:hAnsi="Calibri" w:cs="Century Gothic"/>
          <w:color w:val="000000"/>
          <w:sz w:val="26"/>
          <w:szCs w:val="26"/>
        </w:rPr>
        <w:t>advice;</w:t>
      </w:r>
    </w:p>
    <w:p w:rsidR="007513DA" w:rsidRPr="002B2760" w:rsidRDefault="007513DA" w:rsidP="00CF2E67">
      <w:pPr>
        <w:autoSpaceDE w:val="0"/>
        <w:autoSpaceDN w:val="0"/>
        <w:adjustRightInd w:val="0"/>
        <w:ind w:left="720"/>
        <w:rPr>
          <w:rFonts w:ascii="Calibri" w:hAnsi="Calibri" w:cs="Century Gothic"/>
          <w:color w:val="000000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t>2. that he cannot persuade her to inform her parents or to allow him to inform</w:t>
      </w:r>
      <w:r w:rsidR="00CF2E67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2B2760">
        <w:rPr>
          <w:rFonts w:ascii="Calibri" w:hAnsi="Calibri" w:cs="Century Gothic"/>
          <w:color w:val="000000"/>
          <w:sz w:val="26"/>
          <w:szCs w:val="26"/>
        </w:rPr>
        <w:t>the parents that she is seeking contraceptive advice;</w:t>
      </w:r>
    </w:p>
    <w:p w:rsidR="007513DA" w:rsidRPr="002B2760" w:rsidRDefault="007513DA" w:rsidP="00CF2E67">
      <w:pPr>
        <w:autoSpaceDE w:val="0"/>
        <w:autoSpaceDN w:val="0"/>
        <w:adjustRightInd w:val="0"/>
        <w:ind w:left="720"/>
        <w:rPr>
          <w:rFonts w:ascii="Calibri" w:hAnsi="Calibri" w:cs="Century Gothic"/>
          <w:color w:val="000000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t>3. that she is very likely to continue having sexual intercourse with or without</w:t>
      </w:r>
      <w:r w:rsidR="00CF2E67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2B2760">
        <w:rPr>
          <w:rFonts w:ascii="Calibri" w:hAnsi="Calibri" w:cs="Century Gothic"/>
          <w:color w:val="000000"/>
          <w:sz w:val="26"/>
          <w:szCs w:val="26"/>
        </w:rPr>
        <w:t>contraceptive treatment;</w:t>
      </w:r>
    </w:p>
    <w:p w:rsidR="007513DA" w:rsidRPr="002B2760" w:rsidRDefault="007513DA" w:rsidP="00CF2E67">
      <w:pPr>
        <w:autoSpaceDE w:val="0"/>
        <w:autoSpaceDN w:val="0"/>
        <w:adjustRightInd w:val="0"/>
        <w:ind w:left="720"/>
        <w:rPr>
          <w:rFonts w:ascii="Calibri" w:hAnsi="Calibri" w:cs="Century Gothic"/>
          <w:color w:val="000000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t>4. that unless she receives contraceptive advice or treatment her physical or</w:t>
      </w:r>
      <w:r w:rsidR="00CF2E67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2B2760">
        <w:rPr>
          <w:rFonts w:ascii="Calibri" w:hAnsi="Calibri" w:cs="Century Gothic"/>
          <w:color w:val="000000"/>
          <w:sz w:val="26"/>
          <w:szCs w:val="26"/>
        </w:rPr>
        <w:t>mental healt</w:t>
      </w:r>
      <w:r w:rsidR="00CF2E67">
        <w:rPr>
          <w:rFonts w:ascii="Calibri" w:hAnsi="Calibri" w:cs="Century Gothic"/>
          <w:color w:val="000000"/>
          <w:sz w:val="26"/>
          <w:szCs w:val="26"/>
        </w:rPr>
        <w:t>h or both are likely to suffer;</w:t>
      </w:r>
    </w:p>
    <w:p w:rsidR="007513DA" w:rsidRDefault="007513DA" w:rsidP="00CF2E67">
      <w:pPr>
        <w:autoSpaceDE w:val="0"/>
        <w:autoSpaceDN w:val="0"/>
        <w:adjustRightInd w:val="0"/>
        <w:ind w:left="720"/>
        <w:rPr>
          <w:rFonts w:ascii="Calibri" w:hAnsi="Calibri" w:cs="Century Gothic"/>
          <w:color w:val="0000FF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lastRenderedPageBreak/>
        <w:t>5. that her best interests require him to give her contraceptive advice,</w:t>
      </w:r>
      <w:r w:rsidR="00CF2E67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2B2760">
        <w:rPr>
          <w:rFonts w:ascii="Calibri" w:hAnsi="Calibri" w:cs="Century Gothic"/>
          <w:color w:val="000000"/>
          <w:sz w:val="26"/>
          <w:szCs w:val="26"/>
        </w:rPr>
        <w:t xml:space="preserve">treatment or both without the parental consent." </w:t>
      </w:r>
      <w:r w:rsidRPr="002B2760">
        <w:rPr>
          <w:rFonts w:ascii="Calibri" w:hAnsi="Calibri" w:cs="Century Gothic"/>
          <w:color w:val="0000FF"/>
          <w:sz w:val="26"/>
          <w:szCs w:val="26"/>
        </w:rPr>
        <w:t>(</w:t>
      </w:r>
      <w:proofErr w:type="spellStart"/>
      <w:r w:rsidRPr="002B2760">
        <w:rPr>
          <w:rFonts w:ascii="Calibri" w:hAnsi="Calibri" w:cs="Century Gothic"/>
          <w:color w:val="0000FF"/>
          <w:sz w:val="26"/>
          <w:szCs w:val="26"/>
        </w:rPr>
        <w:t>Gillick</w:t>
      </w:r>
      <w:proofErr w:type="spellEnd"/>
      <w:r w:rsidRPr="002B2760">
        <w:rPr>
          <w:rFonts w:ascii="Calibri" w:hAnsi="Calibri" w:cs="Century Gothic"/>
          <w:color w:val="0000FF"/>
          <w:sz w:val="26"/>
          <w:szCs w:val="26"/>
        </w:rPr>
        <w:t xml:space="preserve"> v West Norfolk, 1985)</w:t>
      </w:r>
    </w:p>
    <w:p w:rsidR="00CF2E67" w:rsidRPr="00CF2E67" w:rsidRDefault="00CF2E67" w:rsidP="00CF2E67">
      <w:pPr>
        <w:autoSpaceDE w:val="0"/>
        <w:autoSpaceDN w:val="0"/>
        <w:adjustRightInd w:val="0"/>
        <w:ind w:left="720"/>
        <w:rPr>
          <w:rFonts w:ascii="Calibri" w:hAnsi="Calibri" w:cs="Century Gothic"/>
          <w:color w:val="0000FF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color w:val="000000"/>
          <w:sz w:val="26"/>
          <w:szCs w:val="26"/>
        </w:rPr>
      </w:pPr>
      <w:r w:rsidRPr="002B2760">
        <w:rPr>
          <w:rFonts w:ascii="Calibri" w:hAnsi="Calibri" w:cs="Century Gothic,Bold"/>
          <w:b/>
          <w:bCs/>
          <w:color w:val="000000"/>
          <w:sz w:val="26"/>
          <w:szCs w:val="26"/>
        </w:rPr>
        <w:t xml:space="preserve">How is </w:t>
      </w:r>
      <w:proofErr w:type="spellStart"/>
      <w:r w:rsidRPr="002B2760">
        <w:rPr>
          <w:rFonts w:ascii="Calibri" w:hAnsi="Calibri" w:cs="Century Gothic,Bold"/>
          <w:b/>
          <w:bCs/>
          <w:color w:val="000000"/>
          <w:sz w:val="26"/>
          <w:szCs w:val="26"/>
        </w:rPr>
        <w:t>Gillick</w:t>
      </w:r>
      <w:proofErr w:type="spellEnd"/>
      <w:r w:rsidRPr="002B2760">
        <w:rPr>
          <w:rFonts w:ascii="Calibri" w:hAnsi="Calibri" w:cs="Century Gothic,Bold"/>
          <w:b/>
          <w:bCs/>
          <w:color w:val="000000"/>
          <w:sz w:val="26"/>
          <w:szCs w:val="26"/>
        </w:rPr>
        <w:t xml:space="preserve"> competency assessed?</w:t>
      </w:r>
    </w:p>
    <w:p w:rsidR="00CF2E67" w:rsidRPr="00CF2E67" w:rsidRDefault="00CF2E67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color w:val="000000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color w:val="000000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t xml:space="preserve">Lord </w:t>
      </w:r>
      <w:proofErr w:type="spellStart"/>
      <w:r w:rsidRPr="002B2760">
        <w:rPr>
          <w:rFonts w:ascii="Calibri" w:hAnsi="Calibri" w:cs="Century Gothic"/>
          <w:color w:val="000000"/>
          <w:sz w:val="26"/>
          <w:szCs w:val="26"/>
        </w:rPr>
        <w:t>Scarman’s</w:t>
      </w:r>
      <w:proofErr w:type="spellEnd"/>
      <w:r w:rsidRPr="002B2760">
        <w:rPr>
          <w:rFonts w:ascii="Calibri" w:hAnsi="Calibri" w:cs="Century Gothic"/>
          <w:color w:val="000000"/>
          <w:sz w:val="26"/>
          <w:szCs w:val="26"/>
        </w:rPr>
        <w:t xml:space="preserve"> comments in his judgment of the </w:t>
      </w:r>
      <w:proofErr w:type="spellStart"/>
      <w:r w:rsidRPr="002B2760">
        <w:rPr>
          <w:rFonts w:ascii="Calibri" w:hAnsi="Calibri" w:cs="Century Gothic"/>
          <w:color w:val="000000"/>
          <w:sz w:val="26"/>
          <w:szCs w:val="26"/>
        </w:rPr>
        <w:t>Gillick</w:t>
      </w:r>
      <w:proofErr w:type="spellEnd"/>
      <w:r w:rsidRPr="002B2760">
        <w:rPr>
          <w:rFonts w:ascii="Calibri" w:hAnsi="Calibri" w:cs="Century Gothic"/>
          <w:color w:val="000000"/>
          <w:sz w:val="26"/>
          <w:szCs w:val="26"/>
        </w:rPr>
        <w:t xml:space="preserve"> case in the House of Lords</w:t>
      </w:r>
      <w:r w:rsidR="00CF2E67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2B2760">
        <w:rPr>
          <w:rFonts w:ascii="Calibri" w:hAnsi="Calibri" w:cs="Century Gothic"/>
          <w:color w:val="0000FF"/>
          <w:sz w:val="26"/>
          <w:szCs w:val="26"/>
        </w:rPr>
        <w:t>(</w:t>
      </w:r>
      <w:proofErr w:type="spellStart"/>
      <w:r w:rsidRPr="002B2760">
        <w:rPr>
          <w:rFonts w:ascii="Calibri" w:hAnsi="Calibri" w:cs="Century Gothic"/>
          <w:color w:val="0000FF"/>
          <w:sz w:val="26"/>
          <w:szCs w:val="26"/>
        </w:rPr>
        <w:t>Gillick</w:t>
      </w:r>
      <w:proofErr w:type="spellEnd"/>
      <w:r w:rsidRPr="002B2760">
        <w:rPr>
          <w:rFonts w:ascii="Calibri" w:hAnsi="Calibri" w:cs="Century Gothic"/>
          <w:color w:val="0000FF"/>
          <w:sz w:val="26"/>
          <w:szCs w:val="26"/>
        </w:rPr>
        <w:t xml:space="preserve"> v West Norfolk, 1985) </w:t>
      </w:r>
      <w:r w:rsidRPr="002B2760">
        <w:rPr>
          <w:rFonts w:ascii="Calibri" w:hAnsi="Calibri" w:cs="Century Gothic"/>
          <w:color w:val="000000"/>
          <w:sz w:val="26"/>
          <w:szCs w:val="26"/>
        </w:rPr>
        <w:t>are often referred to as the test of "</w:t>
      </w:r>
      <w:proofErr w:type="spellStart"/>
      <w:r w:rsidRPr="002B2760">
        <w:rPr>
          <w:rFonts w:ascii="Calibri" w:hAnsi="Calibri" w:cs="Century Gothic"/>
          <w:color w:val="000000"/>
          <w:sz w:val="26"/>
          <w:szCs w:val="26"/>
        </w:rPr>
        <w:t>Gillick</w:t>
      </w:r>
      <w:proofErr w:type="spellEnd"/>
      <w:r w:rsidRPr="002B2760">
        <w:rPr>
          <w:rFonts w:ascii="Calibri" w:hAnsi="Calibri" w:cs="Century Gothic"/>
          <w:color w:val="000000"/>
          <w:sz w:val="26"/>
          <w:szCs w:val="26"/>
        </w:rPr>
        <w:t xml:space="preserve"> competency":</w:t>
      </w:r>
    </w:p>
    <w:p w:rsidR="00CF2E67" w:rsidRPr="00CF2E67" w:rsidRDefault="00CF2E67" w:rsidP="007513DA">
      <w:pPr>
        <w:autoSpaceDE w:val="0"/>
        <w:autoSpaceDN w:val="0"/>
        <w:adjustRightInd w:val="0"/>
        <w:rPr>
          <w:rFonts w:ascii="Calibri" w:hAnsi="Calibri" w:cs="Century Gothic"/>
          <w:color w:val="000000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color w:val="000000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t>"...it is not enough that she should understand the nature of the advice which is</w:t>
      </w:r>
      <w:r w:rsidR="00CF2E67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2B2760">
        <w:rPr>
          <w:rFonts w:ascii="Calibri" w:hAnsi="Calibri" w:cs="Century Gothic"/>
          <w:color w:val="000000"/>
          <w:sz w:val="26"/>
          <w:szCs w:val="26"/>
        </w:rPr>
        <w:t>being given: she must also have a sufficient maturity to understand what is involved."</w:t>
      </w:r>
    </w:p>
    <w:p w:rsidR="00CF2E67" w:rsidRPr="00CF2E67" w:rsidRDefault="00CF2E67" w:rsidP="007513DA">
      <w:pPr>
        <w:autoSpaceDE w:val="0"/>
        <w:autoSpaceDN w:val="0"/>
        <w:adjustRightInd w:val="0"/>
        <w:rPr>
          <w:rFonts w:ascii="Calibri" w:hAnsi="Calibri" w:cs="Century Gothic"/>
          <w:color w:val="000000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color w:val="000000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t>He also commented more generally on parents’ versus children’s rights:</w:t>
      </w:r>
    </w:p>
    <w:p w:rsidR="00CF2E67" w:rsidRPr="00CF2E67" w:rsidRDefault="00CF2E67" w:rsidP="007513DA">
      <w:pPr>
        <w:autoSpaceDE w:val="0"/>
        <w:autoSpaceDN w:val="0"/>
        <w:adjustRightInd w:val="0"/>
        <w:rPr>
          <w:rFonts w:ascii="Calibri" w:hAnsi="Calibri" w:cs="Century Gothic"/>
          <w:color w:val="000000"/>
          <w:sz w:val="16"/>
          <w:szCs w:val="1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color w:val="000000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t>"parental right yields to the child’s right to make his own decisions when he reaches</w:t>
      </w:r>
      <w:r w:rsidR="00CF2E67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2B2760">
        <w:rPr>
          <w:rFonts w:ascii="Calibri" w:hAnsi="Calibri" w:cs="Century Gothic"/>
          <w:color w:val="000000"/>
          <w:sz w:val="26"/>
          <w:szCs w:val="26"/>
        </w:rPr>
        <w:t>a sufficient understanding and intelligence to be capable of making up his own</w:t>
      </w:r>
      <w:r w:rsidR="00CF2E67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2B2760">
        <w:rPr>
          <w:rFonts w:ascii="Calibri" w:hAnsi="Calibri" w:cs="Century Gothic"/>
          <w:color w:val="000000"/>
          <w:sz w:val="26"/>
          <w:szCs w:val="26"/>
        </w:rPr>
        <w:t>mind on the matter requiring decision."</w:t>
      </w:r>
    </w:p>
    <w:p w:rsidR="00CF2E67" w:rsidRPr="002B2760" w:rsidRDefault="00CF2E67" w:rsidP="007513DA">
      <w:pPr>
        <w:autoSpaceDE w:val="0"/>
        <w:autoSpaceDN w:val="0"/>
        <w:adjustRightInd w:val="0"/>
        <w:rPr>
          <w:rFonts w:ascii="Calibri" w:hAnsi="Calibri" w:cs="Century Gothic"/>
          <w:color w:val="000000"/>
          <w:sz w:val="26"/>
          <w:szCs w:val="26"/>
        </w:rPr>
      </w:pPr>
    </w:p>
    <w:p w:rsidR="007513DA" w:rsidRPr="002B2760" w:rsidRDefault="007513DA" w:rsidP="007513DA">
      <w:pPr>
        <w:autoSpaceDE w:val="0"/>
        <w:autoSpaceDN w:val="0"/>
        <w:adjustRightInd w:val="0"/>
        <w:rPr>
          <w:rFonts w:ascii="Calibri" w:hAnsi="Calibri" w:cs="Century Gothic,Bold"/>
          <w:b/>
          <w:bCs/>
          <w:color w:val="000000"/>
          <w:sz w:val="26"/>
          <w:szCs w:val="26"/>
        </w:rPr>
      </w:pPr>
      <w:r w:rsidRPr="002B2760">
        <w:rPr>
          <w:rFonts w:ascii="Calibri" w:hAnsi="Calibri" w:cs="Century Gothic,Bold"/>
          <w:b/>
          <w:bCs/>
          <w:color w:val="000000"/>
          <w:sz w:val="26"/>
          <w:szCs w:val="26"/>
        </w:rPr>
        <w:t>What are the implications for child protection?</w:t>
      </w: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color w:val="000000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t>Professionals working with children need to consider how to balance children’s rights</w:t>
      </w:r>
      <w:r w:rsidR="00CF2E67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2B2760">
        <w:rPr>
          <w:rFonts w:ascii="Calibri" w:hAnsi="Calibri" w:cs="Century Gothic"/>
          <w:color w:val="000000"/>
          <w:sz w:val="26"/>
          <w:szCs w:val="26"/>
        </w:rPr>
        <w:t>and wishes with their responsibility to keep children safe from harm.</w:t>
      </w:r>
    </w:p>
    <w:p w:rsidR="00CF2E67" w:rsidRPr="002B2760" w:rsidRDefault="00CF2E67" w:rsidP="007513DA">
      <w:pPr>
        <w:autoSpaceDE w:val="0"/>
        <w:autoSpaceDN w:val="0"/>
        <w:adjustRightInd w:val="0"/>
        <w:rPr>
          <w:rFonts w:ascii="Calibri" w:hAnsi="Calibri" w:cs="Century Gothic"/>
          <w:color w:val="000000"/>
          <w:sz w:val="26"/>
          <w:szCs w:val="26"/>
        </w:rPr>
      </w:pPr>
    </w:p>
    <w:p w:rsidR="007513DA" w:rsidRDefault="007513DA" w:rsidP="00CF2E67">
      <w:pPr>
        <w:autoSpaceDE w:val="0"/>
        <w:autoSpaceDN w:val="0"/>
        <w:adjustRightInd w:val="0"/>
        <w:rPr>
          <w:rFonts w:ascii="Calibri" w:hAnsi="Calibri" w:cs="Century Gothic"/>
          <w:color w:val="000000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t>Underage sexual activity should always be seen as a possible indicator of child</w:t>
      </w:r>
      <w:r w:rsidR="00CF2E67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2B2760">
        <w:rPr>
          <w:rFonts w:ascii="Calibri" w:hAnsi="Calibri" w:cs="Century Gothic"/>
          <w:color w:val="000000"/>
          <w:sz w:val="26"/>
          <w:szCs w:val="26"/>
        </w:rPr>
        <w:t>sexual exploitation.</w:t>
      </w:r>
    </w:p>
    <w:p w:rsidR="00CF2E67" w:rsidRPr="002B2760" w:rsidRDefault="00CF2E67" w:rsidP="00CF2E67">
      <w:pPr>
        <w:autoSpaceDE w:val="0"/>
        <w:autoSpaceDN w:val="0"/>
        <w:adjustRightInd w:val="0"/>
        <w:rPr>
          <w:rFonts w:ascii="Calibri" w:hAnsi="Calibri" w:cs="Century Gothic"/>
          <w:color w:val="000000"/>
          <w:sz w:val="26"/>
          <w:szCs w:val="2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color w:val="000000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t>Sexual activity with a child under 13 is a criminal offence and should always result in</w:t>
      </w:r>
      <w:r w:rsidR="00CF2E67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2B2760">
        <w:rPr>
          <w:rFonts w:ascii="Calibri" w:hAnsi="Calibri" w:cs="Century Gothic"/>
          <w:color w:val="000000"/>
          <w:sz w:val="26"/>
          <w:szCs w:val="26"/>
        </w:rPr>
        <w:t>a child protection referral.</w:t>
      </w:r>
    </w:p>
    <w:p w:rsidR="00CF2E67" w:rsidRPr="002B2760" w:rsidRDefault="00CF2E67" w:rsidP="007513DA">
      <w:pPr>
        <w:autoSpaceDE w:val="0"/>
        <w:autoSpaceDN w:val="0"/>
        <w:adjustRightInd w:val="0"/>
        <w:rPr>
          <w:rFonts w:ascii="Calibri" w:hAnsi="Calibri" w:cs="Century Gothic"/>
          <w:color w:val="000000"/>
          <w:sz w:val="26"/>
          <w:szCs w:val="26"/>
        </w:rPr>
      </w:pPr>
    </w:p>
    <w:p w:rsidR="007513DA" w:rsidRDefault="007513DA" w:rsidP="007513DA">
      <w:pPr>
        <w:autoSpaceDE w:val="0"/>
        <w:autoSpaceDN w:val="0"/>
        <w:adjustRightInd w:val="0"/>
        <w:rPr>
          <w:rFonts w:ascii="Calibri" w:hAnsi="Calibri" w:cs="Century Gothic"/>
          <w:color w:val="000000"/>
          <w:sz w:val="26"/>
          <w:szCs w:val="26"/>
        </w:rPr>
      </w:pPr>
      <w:r w:rsidRPr="002B2760">
        <w:rPr>
          <w:rFonts w:ascii="Calibri" w:hAnsi="Calibri" w:cs="Century Gothic"/>
          <w:color w:val="000000"/>
          <w:sz w:val="26"/>
          <w:szCs w:val="26"/>
        </w:rPr>
        <w:t>Further reading</w:t>
      </w:r>
    </w:p>
    <w:p w:rsidR="00CF2E67" w:rsidRPr="002B2760" w:rsidRDefault="00CF2E67" w:rsidP="007513DA">
      <w:pPr>
        <w:autoSpaceDE w:val="0"/>
        <w:autoSpaceDN w:val="0"/>
        <w:adjustRightInd w:val="0"/>
        <w:rPr>
          <w:rFonts w:ascii="Calibri" w:hAnsi="Calibri" w:cs="Century Gothic"/>
          <w:color w:val="000000"/>
          <w:sz w:val="26"/>
          <w:szCs w:val="26"/>
        </w:rPr>
      </w:pPr>
    </w:p>
    <w:p w:rsidR="007513DA" w:rsidRPr="00CF2E67" w:rsidRDefault="007513DA" w:rsidP="00CF2E6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entury Gothic"/>
          <w:color w:val="000000"/>
          <w:sz w:val="26"/>
          <w:szCs w:val="26"/>
        </w:rPr>
      </w:pPr>
      <w:r w:rsidRPr="00CF2E67">
        <w:rPr>
          <w:rFonts w:ascii="Calibri" w:hAnsi="Calibri" w:cs="Century Gothic"/>
          <w:color w:val="000000"/>
          <w:sz w:val="26"/>
          <w:szCs w:val="26"/>
        </w:rPr>
        <w:t>British Medical Association (2001) Consent, rights and choices in health care</w:t>
      </w:r>
      <w:r w:rsidR="00CF2E67" w:rsidRPr="00CF2E67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CF2E67">
        <w:rPr>
          <w:rFonts w:ascii="Calibri" w:hAnsi="Calibri" w:cs="Century Gothic"/>
          <w:color w:val="000000"/>
          <w:sz w:val="26"/>
          <w:szCs w:val="26"/>
        </w:rPr>
        <w:t>for children and young people. London: BMJ Publishing Group.</w:t>
      </w:r>
    </w:p>
    <w:p w:rsidR="007513DA" w:rsidRPr="00CF2E67" w:rsidRDefault="007513DA" w:rsidP="00CF2E6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entury Gothic"/>
          <w:color w:val="000000"/>
          <w:sz w:val="26"/>
          <w:szCs w:val="26"/>
        </w:rPr>
      </w:pPr>
      <w:r w:rsidRPr="00CF2E67">
        <w:rPr>
          <w:rFonts w:ascii="Calibri" w:hAnsi="Calibri" w:cs="Century Gothic"/>
          <w:color w:val="000000"/>
          <w:sz w:val="26"/>
          <w:szCs w:val="26"/>
        </w:rPr>
        <w:t xml:space="preserve">British and Irish Legal Information Institute. </w:t>
      </w:r>
      <w:proofErr w:type="spellStart"/>
      <w:r w:rsidRPr="00CF2E67">
        <w:rPr>
          <w:rFonts w:ascii="Calibri" w:hAnsi="Calibri" w:cs="Century Gothic"/>
          <w:color w:val="0000FF"/>
          <w:sz w:val="26"/>
          <w:szCs w:val="26"/>
        </w:rPr>
        <w:t>Gillick</w:t>
      </w:r>
      <w:proofErr w:type="spellEnd"/>
      <w:r w:rsidRPr="00CF2E67">
        <w:rPr>
          <w:rFonts w:ascii="Calibri" w:hAnsi="Calibri" w:cs="Century Gothic"/>
          <w:color w:val="0000FF"/>
          <w:sz w:val="26"/>
          <w:szCs w:val="26"/>
        </w:rPr>
        <w:t xml:space="preserve"> v West Norfolk &amp; </w:t>
      </w:r>
      <w:proofErr w:type="spellStart"/>
      <w:r w:rsidRPr="00CF2E67">
        <w:rPr>
          <w:rFonts w:ascii="Calibri" w:hAnsi="Calibri" w:cs="Century Gothic"/>
          <w:color w:val="0000FF"/>
          <w:sz w:val="26"/>
          <w:szCs w:val="26"/>
        </w:rPr>
        <w:t>Wisbech</w:t>
      </w:r>
      <w:proofErr w:type="spellEnd"/>
      <w:r w:rsidR="00CF2E67" w:rsidRPr="00CF2E67">
        <w:rPr>
          <w:rFonts w:ascii="Calibri" w:hAnsi="Calibri" w:cs="Century Gothic"/>
          <w:color w:val="0000FF"/>
          <w:sz w:val="26"/>
          <w:szCs w:val="26"/>
        </w:rPr>
        <w:t xml:space="preserve"> </w:t>
      </w:r>
      <w:r w:rsidRPr="00CF2E67">
        <w:rPr>
          <w:rFonts w:ascii="Calibri" w:hAnsi="Calibri" w:cs="Century Gothic"/>
          <w:color w:val="0000FF"/>
          <w:sz w:val="26"/>
          <w:szCs w:val="26"/>
        </w:rPr>
        <w:t xml:space="preserve">Area Health Authority, UKHL 7 </w:t>
      </w:r>
      <w:r w:rsidRPr="00CF2E67">
        <w:rPr>
          <w:rFonts w:ascii="Calibri" w:hAnsi="Calibri" w:cs="Century Gothic"/>
          <w:color w:val="000000"/>
          <w:sz w:val="26"/>
          <w:szCs w:val="26"/>
        </w:rPr>
        <w:t>(17 October 1985)</w:t>
      </w:r>
    </w:p>
    <w:p w:rsidR="007513DA" w:rsidRPr="00CF2E67" w:rsidRDefault="007513DA" w:rsidP="00CF2E6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entury Gothic"/>
          <w:color w:val="000000"/>
          <w:sz w:val="26"/>
          <w:szCs w:val="26"/>
        </w:rPr>
      </w:pPr>
      <w:r w:rsidRPr="00CF2E67">
        <w:rPr>
          <w:rFonts w:ascii="Calibri" w:hAnsi="Calibri" w:cs="Century Gothic"/>
          <w:color w:val="000000"/>
          <w:sz w:val="26"/>
          <w:szCs w:val="26"/>
        </w:rPr>
        <w:t>Children's Legal Centre (1985) Landmark decision for children's rights.</w:t>
      </w:r>
      <w:r w:rsidR="00CF2E67" w:rsidRPr="00CF2E67">
        <w:rPr>
          <w:rFonts w:ascii="Calibri" w:hAnsi="Calibri" w:cs="Century Gothic"/>
          <w:color w:val="000000"/>
          <w:sz w:val="26"/>
          <w:szCs w:val="26"/>
        </w:rPr>
        <w:t xml:space="preserve"> </w:t>
      </w:r>
      <w:proofErr w:type="spellStart"/>
      <w:r w:rsidRPr="00CF2E67">
        <w:rPr>
          <w:rFonts w:ascii="Calibri" w:hAnsi="Calibri" w:cs="Century Gothic"/>
          <w:color w:val="000000"/>
          <w:sz w:val="26"/>
          <w:szCs w:val="26"/>
        </w:rPr>
        <w:t>Childright</w:t>
      </w:r>
      <w:proofErr w:type="spellEnd"/>
      <w:r w:rsidRPr="00CF2E67">
        <w:rPr>
          <w:rFonts w:ascii="Calibri" w:hAnsi="Calibri" w:cs="Century Gothic"/>
          <w:color w:val="000000"/>
          <w:sz w:val="26"/>
          <w:szCs w:val="26"/>
        </w:rPr>
        <w:t>, 22: 11-18.</w:t>
      </w:r>
    </w:p>
    <w:p w:rsidR="007513DA" w:rsidRPr="00CF2E67" w:rsidRDefault="007513DA" w:rsidP="00CF2E6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entury Gothic"/>
          <w:color w:val="000000"/>
          <w:sz w:val="26"/>
          <w:szCs w:val="26"/>
        </w:rPr>
      </w:pPr>
      <w:proofErr w:type="spellStart"/>
      <w:r w:rsidRPr="00CF2E67">
        <w:rPr>
          <w:rFonts w:ascii="Calibri" w:hAnsi="Calibri" w:cs="Century Gothic"/>
          <w:color w:val="000000"/>
          <w:sz w:val="26"/>
          <w:szCs w:val="26"/>
        </w:rPr>
        <w:t>DeCruz</w:t>
      </w:r>
      <w:proofErr w:type="spellEnd"/>
      <w:r w:rsidRPr="00CF2E67">
        <w:rPr>
          <w:rFonts w:ascii="Calibri" w:hAnsi="Calibri" w:cs="Century Gothic"/>
          <w:color w:val="000000"/>
          <w:sz w:val="26"/>
          <w:szCs w:val="26"/>
        </w:rPr>
        <w:t xml:space="preserve">, S. P. (1987) </w:t>
      </w:r>
      <w:r w:rsidRPr="00CF2E67">
        <w:rPr>
          <w:rFonts w:ascii="Calibri" w:hAnsi="Calibri" w:cs="Century Gothic"/>
          <w:color w:val="0000FF"/>
          <w:sz w:val="26"/>
          <w:szCs w:val="26"/>
        </w:rPr>
        <w:t xml:space="preserve">Parents, doctors and children: </w:t>
      </w:r>
      <w:proofErr w:type="gramStart"/>
      <w:r w:rsidRPr="00CF2E67">
        <w:rPr>
          <w:rFonts w:ascii="Calibri" w:hAnsi="Calibri" w:cs="Century Gothic"/>
          <w:color w:val="0000FF"/>
          <w:sz w:val="26"/>
          <w:szCs w:val="26"/>
        </w:rPr>
        <w:t>the</w:t>
      </w:r>
      <w:proofErr w:type="gramEnd"/>
      <w:r w:rsidRPr="00CF2E67">
        <w:rPr>
          <w:rFonts w:ascii="Calibri" w:hAnsi="Calibri" w:cs="Century Gothic"/>
          <w:color w:val="0000FF"/>
          <w:sz w:val="26"/>
          <w:szCs w:val="26"/>
        </w:rPr>
        <w:t xml:space="preserve"> </w:t>
      </w:r>
      <w:proofErr w:type="spellStart"/>
      <w:r w:rsidRPr="00CF2E67">
        <w:rPr>
          <w:rFonts w:ascii="Calibri" w:hAnsi="Calibri" w:cs="Century Gothic"/>
          <w:color w:val="0000FF"/>
          <w:sz w:val="26"/>
          <w:szCs w:val="26"/>
        </w:rPr>
        <w:t>Gillick</w:t>
      </w:r>
      <w:proofErr w:type="spellEnd"/>
      <w:r w:rsidRPr="00CF2E67">
        <w:rPr>
          <w:rFonts w:ascii="Calibri" w:hAnsi="Calibri" w:cs="Century Gothic"/>
          <w:color w:val="0000FF"/>
          <w:sz w:val="26"/>
          <w:szCs w:val="26"/>
        </w:rPr>
        <w:t xml:space="preserve"> case and</w:t>
      </w:r>
      <w:r w:rsidR="00CF2E67" w:rsidRPr="00CF2E67">
        <w:rPr>
          <w:rFonts w:ascii="Calibri" w:hAnsi="Calibri" w:cs="Century Gothic"/>
          <w:color w:val="0000FF"/>
          <w:sz w:val="26"/>
          <w:szCs w:val="26"/>
        </w:rPr>
        <w:t xml:space="preserve"> </w:t>
      </w:r>
      <w:r w:rsidRPr="00CF2E67">
        <w:rPr>
          <w:rFonts w:ascii="Calibri" w:hAnsi="Calibri" w:cs="Century Gothic"/>
          <w:color w:val="0000FF"/>
          <w:sz w:val="26"/>
          <w:szCs w:val="26"/>
        </w:rPr>
        <w:t>beyond</w:t>
      </w:r>
      <w:r w:rsidRPr="00CF2E67">
        <w:rPr>
          <w:rFonts w:ascii="Calibri" w:hAnsi="Calibri" w:cs="Century Gothic"/>
          <w:color w:val="000000"/>
          <w:sz w:val="26"/>
          <w:szCs w:val="26"/>
        </w:rPr>
        <w:t>. Journal of Social Welfare Law (March): 93-108.</w:t>
      </w:r>
    </w:p>
    <w:p w:rsidR="007513DA" w:rsidRPr="00CF2E67" w:rsidRDefault="007513DA" w:rsidP="00CF2E6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entury Gothic"/>
          <w:color w:val="000000"/>
          <w:sz w:val="26"/>
          <w:szCs w:val="26"/>
        </w:rPr>
      </w:pPr>
      <w:r w:rsidRPr="00CF2E67">
        <w:rPr>
          <w:rFonts w:ascii="Calibri" w:hAnsi="Calibri" w:cs="Century Gothic"/>
          <w:color w:val="000000"/>
          <w:sz w:val="26"/>
          <w:szCs w:val="26"/>
        </w:rPr>
        <w:t>Gilmore, S. and Herring, J. (2011) 'No' is the hardest word: consent and</w:t>
      </w:r>
      <w:r w:rsidR="00CF2E67" w:rsidRPr="00CF2E67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CF2E67">
        <w:rPr>
          <w:rFonts w:ascii="Calibri" w:hAnsi="Calibri" w:cs="Century Gothic"/>
          <w:color w:val="000000"/>
          <w:sz w:val="26"/>
          <w:szCs w:val="26"/>
        </w:rPr>
        <w:t>children's autonomy. Child and Family Law Quarterly, 23(1): 3-25.</w:t>
      </w:r>
    </w:p>
    <w:p w:rsidR="007513DA" w:rsidRPr="00CF2E67" w:rsidRDefault="007513DA" w:rsidP="00CF2E6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entury Gothic"/>
          <w:color w:val="000000"/>
          <w:sz w:val="26"/>
          <w:szCs w:val="26"/>
        </w:rPr>
      </w:pPr>
      <w:r w:rsidRPr="00CF2E67">
        <w:rPr>
          <w:rFonts w:ascii="Calibri" w:hAnsi="Calibri" w:cs="Century Gothic"/>
          <w:color w:val="000000"/>
          <w:sz w:val="26"/>
          <w:szCs w:val="26"/>
        </w:rPr>
        <w:t>McFarlane, A. (2011) Mental capacity: one standard for all ages. Family Law,</w:t>
      </w:r>
      <w:r w:rsidR="00CF2E67" w:rsidRPr="00CF2E67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CF2E67">
        <w:rPr>
          <w:rFonts w:ascii="Calibri" w:hAnsi="Calibri" w:cs="Century Gothic"/>
          <w:color w:val="000000"/>
          <w:sz w:val="26"/>
          <w:szCs w:val="26"/>
        </w:rPr>
        <w:t>41(5): 479-485.</w:t>
      </w:r>
    </w:p>
    <w:p w:rsidR="007513DA" w:rsidRPr="00CF2E67" w:rsidRDefault="00CF2E67" w:rsidP="00CF2E6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entury Gothic"/>
          <w:color w:val="000000"/>
          <w:sz w:val="26"/>
          <w:szCs w:val="26"/>
        </w:rPr>
      </w:pPr>
      <w:r w:rsidRPr="00CF2E67">
        <w:rPr>
          <w:rFonts w:ascii="Calibri" w:hAnsi="Calibri" w:cs="Century Gothic"/>
          <w:color w:val="000000"/>
          <w:sz w:val="26"/>
          <w:szCs w:val="26"/>
        </w:rPr>
        <w:t>T</w:t>
      </w:r>
      <w:r w:rsidR="007513DA" w:rsidRPr="00CF2E67">
        <w:rPr>
          <w:rFonts w:ascii="Calibri" w:hAnsi="Calibri" w:cs="Century Gothic"/>
          <w:color w:val="000000"/>
          <w:sz w:val="26"/>
          <w:szCs w:val="26"/>
        </w:rPr>
        <w:t xml:space="preserve">aylor, R. (2007) Reversing the retreat from </w:t>
      </w:r>
      <w:proofErr w:type="spellStart"/>
      <w:r w:rsidR="007513DA" w:rsidRPr="00CF2E67">
        <w:rPr>
          <w:rFonts w:ascii="Calibri" w:hAnsi="Calibri" w:cs="Century Gothic"/>
          <w:color w:val="000000"/>
          <w:sz w:val="26"/>
          <w:szCs w:val="26"/>
        </w:rPr>
        <w:t>Gillick</w:t>
      </w:r>
      <w:proofErr w:type="spellEnd"/>
      <w:r w:rsidR="007513DA" w:rsidRPr="00CF2E67">
        <w:rPr>
          <w:rFonts w:ascii="Calibri" w:hAnsi="Calibri" w:cs="Century Gothic"/>
          <w:color w:val="000000"/>
          <w:sz w:val="26"/>
          <w:szCs w:val="26"/>
        </w:rPr>
        <w:t>? R (Axon) v Secretary of</w:t>
      </w:r>
      <w:r w:rsidRPr="00CF2E67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="007513DA" w:rsidRPr="00CF2E67">
        <w:rPr>
          <w:rFonts w:ascii="Calibri" w:hAnsi="Calibri" w:cs="Century Gothic"/>
          <w:color w:val="000000"/>
          <w:sz w:val="26"/>
          <w:szCs w:val="26"/>
        </w:rPr>
        <w:t>State for Health. Child and Family Law Quarterly, 19(1): 81-97.</w:t>
      </w:r>
    </w:p>
    <w:p w:rsidR="007513DA" w:rsidRPr="00CF2E67" w:rsidRDefault="007513DA" w:rsidP="00CF2E67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entury Gothic"/>
          <w:color w:val="000000"/>
          <w:sz w:val="26"/>
          <w:szCs w:val="26"/>
        </w:rPr>
      </w:pPr>
      <w:r w:rsidRPr="00CF2E67">
        <w:rPr>
          <w:rFonts w:ascii="Calibri" w:hAnsi="Calibri" w:cs="Century Gothic"/>
          <w:color w:val="000000"/>
          <w:sz w:val="26"/>
          <w:szCs w:val="26"/>
        </w:rPr>
        <w:t xml:space="preserve">Wheeler, R. (2006) </w:t>
      </w:r>
      <w:proofErr w:type="spellStart"/>
      <w:r w:rsidRPr="00CF2E67">
        <w:rPr>
          <w:rFonts w:ascii="Calibri" w:hAnsi="Calibri" w:cs="Century Gothic"/>
          <w:color w:val="0000FF"/>
          <w:sz w:val="26"/>
          <w:szCs w:val="26"/>
        </w:rPr>
        <w:t>Gillick</w:t>
      </w:r>
      <w:proofErr w:type="spellEnd"/>
      <w:r w:rsidRPr="00CF2E67">
        <w:rPr>
          <w:rFonts w:ascii="Calibri" w:hAnsi="Calibri" w:cs="Century Gothic"/>
          <w:color w:val="0000FF"/>
          <w:sz w:val="26"/>
          <w:szCs w:val="26"/>
        </w:rPr>
        <w:t xml:space="preserve"> or Fraser? A plea for consistency over competence</w:t>
      </w:r>
      <w:r w:rsidR="00CF2E67" w:rsidRPr="00CF2E67">
        <w:rPr>
          <w:rFonts w:ascii="Calibri" w:hAnsi="Calibri" w:cs="Century Gothic"/>
          <w:color w:val="0000FF"/>
          <w:sz w:val="26"/>
          <w:szCs w:val="26"/>
        </w:rPr>
        <w:t xml:space="preserve"> </w:t>
      </w:r>
      <w:r w:rsidRPr="00CF2E67">
        <w:rPr>
          <w:rFonts w:ascii="Calibri" w:hAnsi="Calibri" w:cs="Century Gothic"/>
          <w:color w:val="0000FF"/>
          <w:sz w:val="26"/>
          <w:szCs w:val="26"/>
        </w:rPr>
        <w:t xml:space="preserve">in children: </w:t>
      </w:r>
      <w:proofErr w:type="spellStart"/>
      <w:r w:rsidRPr="00CF2E67">
        <w:rPr>
          <w:rFonts w:ascii="Calibri" w:hAnsi="Calibri" w:cs="Century Gothic"/>
          <w:color w:val="0000FF"/>
          <w:sz w:val="26"/>
          <w:szCs w:val="26"/>
        </w:rPr>
        <w:t>Gillick</w:t>
      </w:r>
      <w:proofErr w:type="spellEnd"/>
      <w:r w:rsidRPr="00CF2E67">
        <w:rPr>
          <w:rFonts w:ascii="Calibri" w:hAnsi="Calibri" w:cs="Century Gothic"/>
          <w:color w:val="0000FF"/>
          <w:sz w:val="26"/>
          <w:szCs w:val="26"/>
        </w:rPr>
        <w:t xml:space="preserve"> and Fraser are not interchangeable</w:t>
      </w:r>
      <w:r w:rsidRPr="00CF2E67">
        <w:rPr>
          <w:rFonts w:ascii="Calibri" w:hAnsi="Calibri" w:cs="Century Gothic"/>
          <w:color w:val="000000"/>
          <w:sz w:val="26"/>
          <w:szCs w:val="26"/>
        </w:rPr>
        <w:t>. British Medical Journal,</w:t>
      </w:r>
      <w:r w:rsidR="00CF2E67" w:rsidRPr="00CF2E67">
        <w:rPr>
          <w:rFonts w:ascii="Calibri" w:hAnsi="Calibri" w:cs="Century Gothic"/>
          <w:color w:val="000000"/>
          <w:sz w:val="26"/>
          <w:szCs w:val="26"/>
        </w:rPr>
        <w:t xml:space="preserve"> </w:t>
      </w:r>
      <w:r w:rsidRPr="00CF2E67">
        <w:rPr>
          <w:rFonts w:ascii="Calibri" w:hAnsi="Calibri" w:cs="Century Gothic"/>
          <w:color w:val="000000"/>
          <w:sz w:val="26"/>
          <w:szCs w:val="26"/>
        </w:rPr>
        <w:t>332(7545): 807.</w:t>
      </w:r>
    </w:p>
    <w:p w:rsidR="007513DA" w:rsidRPr="002B2760" w:rsidRDefault="007513DA" w:rsidP="007513DA">
      <w:pPr>
        <w:rPr>
          <w:rFonts w:ascii="Calibri" w:hAnsi="Calibri"/>
          <w:sz w:val="26"/>
          <w:szCs w:val="26"/>
        </w:rPr>
      </w:pPr>
    </w:p>
    <w:sectPr w:rsidR="007513DA" w:rsidRPr="002B2760" w:rsidSect="00A17E2C">
      <w:footerReference w:type="default" r:id="rId13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461" w:rsidRDefault="00644461" w:rsidP="00A17E2C">
      <w:r>
        <w:separator/>
      </w:r>
    </w:p>
  </w:endnote>
  <w:endnote w:type="continuationSeparator" w:id="0">
    <w:p w:rsidR="00644461" w:rsidRDefault="00644461" w:rsidP="00A1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E2C" w:rsidRDefault="00A17E2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Peer on </w:t>
    </w:r>
    <w:r w:rsidR="00C72BB4">
      <w:rPr>
        <w:rFonts w:asciiTheme="majorHAnsi" w:eastAsiaTheme="majorEastAsia" w:hAnsiTheme="majorHAnsi" w:cstheme="majorBidi"/>
      </w:rPr>
      <w:t>Peer Abuse Policy – June 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793152" w:rsidRPr="00793152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A17E2C" w:rsidRDefault="00A17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461" w:rsidRDefault="00644461" w:rsidP="00A17E2C">
      <w:r>
        <w:separator/>
      </w:r>
    </w:p>
  </w:footnote>
  <w:footnote w:type="continuationSeparator" w:id="0">
    <w:p w:rsidR="00644461" w:rsidRDefault="00644461" w:rsidP="00A17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7845"/>
    <w:multiLevelType w:val="hybridMultilevel"/>
    <w:tmpl w:val="6DFCD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578CC"/>
    <w:multiLevelType w:val="hybridMultilevel"/>
    <w:tmpl w:val="FC8E6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05694"/>
    <w:multiLevelType w:val="hybridMultilevel"/>
    <w:tmpl w:val="5AB66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A210D"/>
    <w:multiLevelType w:val="hybridMultilevel"/>
    <w:tmpl w:val="363C1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DA"/>
    <w:rsid w:val="001952A3"/>
    <w:rsid w:val="00254BB6"/>
    <w:rsid w:val="002B2760"/>
    <w:rsid w:val="003106EC"/>
    <w:rsid w:val="00337174"/>
    <w:rsid w:val="00472A8E"/>
    <w:rsid w:val="005A693E"/>
    <w:rsid w:val="00626569"/>
    <w:rsid w:val="00644461"/>
    <w:rsid w:val="007513DA"/>
    <w:rsid w:val="00793152"/>
    <w:rsid w:val="008608B3"/>
    <w:rsid w:val="00A17E2C"/>
    <w:rsid w:val="00AD502E"/>
    <w:rsid w:val="00C72BB4"/>
    <w:rsid w:val="00CF2E67"/>
    <w:rsid w:val="00F7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7AD6F"/>
  <w15:docId w15:val="{97B14D7C-9EE4-4F46-B6A2-E9B7D06B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3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3DA"/>
    <w:rPr>
      <w:color w:val="0000FF" w:themeColor="hyperlink"/>
      <w:u w:val="single"/>
    </w:rPr>
  </w:style>
  <w:style w:type="character" w:styleId="Strong">
    <w:name w:val="Strong"/>
    <w:qFormat/>
    <w:rsid w:val="007513DA"/>
    <w:rPr>
      <w:b/>
      <w:bCs/>
    </w:rPr>
  </w:style>
  <w:style w:type="paragraph" w:customStyle="1" w:styleId="aLCPHeading">
    <w:name w:val="a LCP Heading"/>
    <w:basedOn w:val="Heading1"/>
    <w:autoRedefine/>
    <w:rsid w:val="007513DA"/>
    <w:pPr>
      <w:keepLines w:val="0"/>
      <w:widowControl w:val="0"/>
      <w:suppressAutoHyphens/>
      <w:spacing w:before="0"/>
      <w:jc w:val="center"/>
    </w:pPr>
    <w:rPr>
      <w:rFonts w:ascii="Arial" w:eastAsia="Times New Roman" w:hAnsi="Arial" w:cs="Arial"/>
      <w:bCs w:val="0"/>
      <w:color w:val="auto"/>
      <w:sz w:val="32"/>
      <w:szCs w:val="32"/>
      <w:lang w:val="en-US"/>
    </w:rPr>
  </w:style>
  <w:style w:type="paragraph" w:customStyle="1" w:styleId="style1149">
    <w:name w:val="style1149"/>
    <w:basedOn w:val="Normal"/>
    <w:rsid w:val="007513DA"/>
    <w:pPr>
      <w:spacing w:before="100" w:beforeAutospacing="1" w:after="100" w:afterAutospacing="1"/>
    </w:pPr>
    <w:rPr>
      <w:rFonts w:ascii="Arial" w:eastAsia="Times New Roman" w:hAnsi="Arial" w:cs="Arial"/>
      <w:sz w:val="23"/>
      <w:szCs w:val="23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1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5A6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7E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E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E2C"/>
  </w:style>
  <w:style w:type="paragraph" w:styleId="Footer">
    <w:name w:val="footer"/>
    <w:basedOn w:val="Normal"/>
    <w:link w:val="FooterChar"/>
    <w:uiPriority w:val="99"/>
    <w:unhideWhenUsed/>
    <w:rsid w:val="00A17E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E2C"/>
  </w:style>
  <w:style w:type="paragraph" w:styleId="BalloonText">
    <w:name w:val="Balloon Text"/>
    <w:basedOn w:val="Normal"/>
    <w:link w:val="BalloonTextChar"/>
    <w:uiPriority w:val="99"/>
    <w:semiHidden/>
    <w:unhideWhenUsed/>
    <w:rsid w:val="00A17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cls.org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eop.police.uk/Media-Centre/Press-releases/2009/What-doessextingme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choicesinc.org/educated/abuse/TDV/de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hatis.techtarget.com/definition/cyberbully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ecls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4265</Words>
  <Characters>24313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Edith Cavell Lower School</Company>
  <LinksUpToDate>false</LinksUpToDate>
  <CharactersWithSpaces>28521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Cooke</dc:creator>
  <cp:lastModifiedBy>Heather Cooke</cp:lastModifiedBy>
  <cp:revision>4</cp:revision>
  <dcterms:created xsi:type="dcterms:W3CDTF">2021-05-04T14:10:00Z</dcterms:created>
  <dcterms:modified xsi:type="dcterms:W3CDTF">2022-11-08T17:52:00Z</dcterms:modified>
</cp:coreProperties>
</file>